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宋体" w:eastAsia="宋体"/>
          <w:sz w:val="32"/>
          <w:szCs w:val="32"/>
        </w:rPr>
      </w:pPr>
    </w:p>
    <w:p>
      <w:pPr>
        <w:widowControl/>
        <w:jc w:val="left"/>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w w:val="95"/>
          <w:sz w:val="44"/>
          <w:szCs w:val="44"/>
          <w:lang w:val="en-US" w:eastAsia="en-US" w:bidi="ar-SA"/>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w w:val="95"/>
          <w:sz w:val="44"/>
          <w:szCs w:val="44"/>
          <w:lang w:val="en-US" w:eastAsia="en-US" w:bidi="ar-SA"/>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w w:val="95"/>
          <w:sz w:val="44"/>
          <w:szCs w:val="44"/>
          <w:lang w:val="en-US" w:eastAsia="en-US" w:bidi="ar-SA"/>
        </w:rPr>
      </w:pPr>
      <w:r>
        <w:rPr>
          <w:rFonts w:hint="eastAsia" w:ascii="方正小标宋_GBK" w:hAnsi="方正小标宋_GBK" w:eastAsia="方正小标宋_GBK" w:cs="方正小标宋_GBK"/>
          <w:w w:val="95"/>
          <w:sz w:val="44"/>
          <w:szCs w:val="44"/>
          <w:lang w:val="en-US" w:eastAsia="en-US" w:bidi="ar-SA"/>
        </w:rPr>
        <w:t>新疆艺术剧院管弦乐团（新疆爱乐乐团）</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w w:val="95"/>
          <w:sz w:val="44"/>
          <w:szCs w:val="44"/>
          <w:lang w:val="en-US" w:eastAsia="en-US" w:bidi="ar-SA"/>
        </w:rPr>
      </w:pPr>
      <w:r>
        <w:rPr>
          <w:rFonts w:hint="eastAsia" w:ascii="方正小标宋_GBK" w:hAnsi="方正小标宋_GBK" w:eastAsia="方正小标宋_GBK" w:cs="方正小标宋_GBK"/>
          <w:w w:val="95"/>
          <w:sz w:val="44"/>
          <w:szCs w:val="44"/>
          <w:lang w:val="en-US" w:eastAsia="en-US" w:bidi="ar-SA"/>
        </w:rPr>
        <w:t>2024年度部门决算公开说明</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ascii="黑体" w:eastAsia="黑体"/>
          <w:sz w:val="32"/>
          <w:szCs w:val="32"/>
        </w:rPr>
      </w:pPr>
      <w:r>
        <w:rPr>
          <w:sz w:val="0"/>
          <w:szCs w:val="0"/>
        </w:rPr>
        <w:br w:type="page"/>
      </w:r>
      <w:r>
        <w:rPr>
          <w:rFonts w:hint="eastAsia" w:ascii="仿宋_GB2312" w:hAnsi="仿宋_GB2312" w:eastAsia="仿宋_GB2312" w:cs="仿宋_GB2312"/>
          <w:b/>
          <w:sz w:val="36"/>
          <w:szCs w:val="36"/>
        </w:rPr>
        <w:t>目</w:t>
      </w:r>
      <w:r>
        <w:rPr>
          <w:rFonts w:hint="eastAsia" w:ascii="仿宋_GB2312" w:hAnsi="仿宋_GB2312" w:eastAsia="仿宋_GB2312" w:cs="仿宋_GB2312"/>
          <w:b/>
          <w:sz w:val="36"/>
          <w:szCs w:val="36"/>
          <w:lang w:val="en-US" w:eastAsia="zh-CN"/>
        </w:rPr>
        <w:t xml:space="preserve"> </w:t>
      </w:r>
      <w:r>
        <w:rPr>
          <w:rFonts w:hint="eastAsia" w:ascii="仿宋_GB2312" w:hAnsi="仿宋_GB2312" w:eastAsia="仿宋_GB2312" w:cs="仿宋_GB2312"/>
          <w:b/>
          <w:sz w:val="36"/>
          <w:szCs w:val="36"/>
        </w:rPr>
        <w:t>录</w:t>
      </w:r>
    </w:p>
    <w:p>
      <w:pPr>
        <w:widowControl/>
        <w:spacing w:line="560" w:lineRule="exact"/>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rPr>
        <w:t xml:space="preserve"> </w:t>
      </w:r>
      <w:r>
        <w:rPr>
          <w:rFonts w:ascii="仿宋_GB2312" w:eastAsia="仿宋_GB2312"/>
          <w:b/>
          <w:sz w:val="32"/>
          <w:szCs w:val="32"/>
        </w:rPr>
        <w:t>单位概况</w:t>
      </w:r>
    </w:p>
    <w:p>
      <w:pPr>
        <w:widowControl/>
        <w:spacing w:line="560" w:lineRule="exact"/>
        <w:jc w:val="left"/>
        <w:rPr>
          <w:rFonts w:ascii="仿宋_GB2312" w:eastAsia="仿宋_GB2312"/>
          <w:sz w:val="32"/>
          <w:szCs w:val="32"/>
        </w:rPr>
      </w:pPr>
      <w:r>
        <w:rPr>
          <w:rFonts w:ascii="仿宋_GB2312" w:eastAsia="仿宋_GB2312"/>
          <w:sz w:val="32"/>
          <w:szCs w:val="32"/>
        </w:rPr>
        <w:t>一、主要职能</w:t>
      </w:r>
    </w:p>
    <w:p>
      <w:pPr>
        <w:widowControl/>
        <w:spacing w:line="560" w:lineRule="exact"/>
        <w:jc w:val="left"/>
        <w:rPr>
          <w:rFonts w:ascii="仿宋_GB2312" w:eastAsia="仿宋_GB2312"/>
          <w:sz w:val="32"/>
          <w:szCs w:val="32"/>
        </w:rPr>
      </w:pPr>
      <w:r>
        <w:rPr>
          <w:rFonts w:ascii="仿宋_GB2312" w:eastAsia="仿宋_GB2312"/>
          <w:sz w:val="32"/>
          <w:szCs w:val="32"/>
        </w:rPr>
        <w:t>二、机构设置及人员情况</w:t>
      </w:r>
    </w:p>
    <w:p>
      <w:pPr>
        <w:widowControl/>
        <w:spacing w:line="560" w:lineRule="exact"/>
        <w:jc w:val="left"/>
        <w:rPr>
          <w:rFonts w:ascii="仿宋_GB2312" w:eastAsia="仿宋_GB2312"/>
          <w:sz w:val="32"/>
          <w:szCs w:val="32"/>
        </w:rPr>
      </w:pPr>
      <w:r>
        <w:rPr>
          <w:rFonts w:ascii="仿宋_GB2312" w:eastAsia="仿宋_GB2312"/>
          <w:b/>
          <w:sz w:val="32"/>
          <w:szCs w:val="32"/>
        </w:rPr>
        <w:t>第二部分</w:t>
      </w:r>
      <w:r>
        <w:rPr>
          <w:rFonts w:hint="eastAsia" w:ascii="仿宋_GB2312" w:eastAsia="仿宋_GB2312"/>
          <w:b/>
          <w:sz w:val="32"/>
          <w:szCs w:val="32"/>
        </w:rPr>
        <w:t xml:space="preserve"> </w:t>
      </w:r>
      <w:r>
        <w:rPr>
          <w:rFonts w:ascii="仿宋_GB2312" w:eastAsia="仿宋_GB2312"/>
          <w:b/>
          <w:sz w:val="32"/>
          <w:szCs w:val="32"/>
        </w:rPr>
        <w:t>部门决算情况说明</w:t>
      </w:r>
    </w:p>
    <w:p>
      <w:pPr>
        <w:widowControl/>
        <w:spacing w:line="560" w:lineRule="exact"/>
        <w:jc w:val="left"/>
        <w:rPr>
          <w:rFonts w:ascii="仿宋_GB2312" w:eastAsia="仿宋_GB2312"/>
          <w:sz w:val="32"/>
          <w:szCs w:val="32"/>
        </w:rPr>
      </w:pPr>
      <w:r>
        <w:rPr>
          <w:rFonts w:ascii="仿宋_GB2312" w:eastAsia="仿宋_GB2312"/>
          <w:sz w:val="32"/>
          <w:szCs w:val="32"/>
        </w:rPr>
        <w:t>一、收入支出决算总体情况说明</w:t>
      </w:r>
    </w:p>
    <w:p>
      <w:pPr>
        <w:widowControl/>
        <w:spacing w:line="560" w:lineRule="exact"/>
        <w:jc w:val="left"/>
        <w:rPr>
          <w:rFonts w:ascii="仿宋_GB2312" w:eastAsia="仿宋_GB2312"/>
          <w:sz w:val="32"/>
          <w:szCs w:val="32"/>
        </w:rPr>
      </w:pPr>
      <w:r>
        <w:rPr>
          <w:rFonts w:ascii="仿宋_GB2312" w:eastAsia="仿宋_GB2312"/>
          <w:sz w:val="32"/>
          <w:szCs w:val="32"/>
        </w:rPr>
        <w:t>二、收入决算情况说明</w:t>
      </w:r>
    </w:p>
    <w:p>
      <w:pPr>
        <w:widowControl/>
        <w:spacing w:line="560" w:lineRule="exact"/>
        <w:jc w:val="left"/>
        <w:rPr>
          <w:rFonts w:ascii="仿宋_GB2312" w:eastAsia="仿宋_GB2312"/>
          <w:sz w:val="32"/>
          <w:szCs w:val="32"/>
        </w:rPr>
      </w:pPr>
      <w:r>
        <w:rPr>
          <w:rFonts w:ascii="仿宋_GB2312" w:eastAsia="仿宋_GB2312"/>
          <w:sz w:val="32"/>
          <w:szCs w:val="32"/>
        </w:rPr>
        <w:t>三、支出决算情况说明</w:t>
      </w:r>
    </w:p>
    <w:p>
      <w:pPr>
        <w:widowControl/>
        <w:spacing w:line="560" w:lineRule="exact"/>
        <w:jc w:val="left"/>
        <w:rPr>
          <w:rFonts w:ascii="仿宋_GB2312" w:eastAsia="仿宋_GB2312"/>
          <w:sz w:val="32"/>
          <w:szCs w:val="32"/>
        </w:rPr>
      </w:pPr>
      <w:r>
        <w:rPr>
          <w:rFonts w:ascii="仿宋_GB2312" w:eastAsia="仿宋_GB2312"/>
          <w:sz w:val="32"/>
          <w:szCs w:val="32"/>
        </w:rPr>
        <w:t>四、财政拨款收入支出决算总体情况说明</w:t>
      </w:r>
    </w:p>
    <w:p>
      <w:pPr>
        <w:widowControl/>
        <w:spacing w:line="560" w:lineRule="exact"/>
        <w:jc w:val="left"/>
        <w:rPr>
          <w:rFonts w:ascii="仿宋_GB2312" w:eastAsia="仿宋_GB2312"/>
          <w:sz w:val="32"/>
          <w:szCs w:val="32"/>
        </w:rPr>
      </w:pPr>
      <w:r>
        <w:rPr>
          <w:rFonts w:ascii="仿宋_GB2312" w:eastAsia="仿宋_GB2312"/>
          <w:sz w:val="32"/>
          <w:szCs w:val="32"/>
        </w:rPr>
        <w:t>五、一般公共预算财政拨款支出决算情况说明</w:t>
      </w:r>
    </w:p>
    <w:p>
      <w:pPr>
        <w:widowControl/>
        <w:spacing w:line="560" w:lineRule="exact"/>
        <w:jc w:val="left"/>
        <w:rPr>
          <w:rFonts w:ascii="仿宋_GB2312" w:eastAsia="仿宋_GB2312"/>
          <w:sz w:val="32"/>
          <w:szCs w:val="32"/>
        </w:rPr>
      </w:pPr>
      <w:r>
        <w:rPr>
          <w:rFonts w:ascii="仿宋_GB2312" w:eastAsia="仿宋_GB2312"/>
          <w:sz w:val="32"/>
          <w:szCs w:val="32"/>
        </w:rPr>
        <w:t>（一）一般公共预算财政拨款支出决算总体情况</w:t>
      </w:r>
    </w:p>
    <w:p>
      <w:pPr>
        <w:widowControl/>
        <w:spacing w:line="560" w:lineRule="exact"/>
        <w:jc w:val="left"/>
        <w:rPr>
          <w:rFonts w:ascii="仿宋_GB2312" w:eastAsia="仿宋_GB2312"/>
          <w:sz w:val="32"/>
          <w:szCs w:val="32"/>
        </w:rPr>
      </w:pPr>
      <w:r>
        <w:rPr>
          <w:rFonts w:ascii="仿宋_GB2312" w:eastAsia="仿宋_GB2312"/>
          <w:sz w:val="32"/>
          <w:szCs w:val="32"/>
        </w:rPr>
        <w:t>（二）一般公共预算财政拨款支出决算结构情况</w:t>
      </w:r>
    </w:p>
    <w:p>
      <w:pPr>
        <w:widowControl/>
        <w:spacing w:line="560" w:lineRule="exact"/>
        <w:jc w:val="left"/>
        <w:rPr>
          <w:rFonts w:ascii="仿宋_GB2312" w:eastAsia="仿宋_GB2312"/>
          <w:sz w:val="32"/>
          <w:szCs w:val="32"/>
        </w:rPr>
      </w:pPr>
      <w:r>
        <w:rPr>
          <w:rFonts w:ascii="仿宋_GB2312" w:eastAsia="仿宋_GB2312"/>
          <w:sz w:val="32"/>
          <w:szCs w:val="32"/>
        </w:rPr>
        <w:t>（三）一般公共预算财政拨款支出决算具体情况</w:t>
      </w:r>
    </w:p>
    <w:p>
      <w:pPr>
        <w:widowControl/>
        <w:spacing w:line="560" w:lineRule="exact"/>
        <w:jc w:val="left"/>
        <w:rPr>
          <w:rFonts w:ascii="仿宋_GB2312" w:eastAsia="仿宋_GB2312"/>
          <w:sz w:val="32"/>
          <w:szCs w:val="32"/>
        </w:rPr>
      </w:pPr>
      <w:r>
        <w:rPr>
          <w:rFonts w:ascii="仿宋_GB2312" w:eastAsia="仿宋_GB2312"/>
          <w:sz w:val="32"/>
          <w:szCs w:val="32"/>
        </w:rPr>
        <w:t>六、一般公共预算财政拨款基本支出决算情况说明</w:t>
      </w:r>
    </w:p>
    <w:p>
      <w:pPr>
        <w:widowControl/>
        <w:spacing w:line="560" w:lineRule="exact"/>
        <w:jc w:val="left"/>
        <w:rPr>
          <w:rFonts w:ascii="仿宋_GB2312" w:eastAsia="仿宋_GB2312"/>
          <w:sz w:val="32"/>
          <w:szCs w:val="32"/>
        </w:rPr>
      </w:pPr>
      <w:r>
        <w:rPr>
          <w:rFonts w:ascii="仿宋_GB2312" w:eastAsia="仿宋_GB2312"/>
          <w:sz w:val="32"/>
          <w:szCs w:val="32"/>
        </w:rPr>
        <w:t>七、政府性基金预算财政拨款收入支出决算情况说明</w:t>
      </w:r>
    </w:p>
    <w:p>
      <w:pPr>
        <w:widowControl/>
        <w:spacing w:line="560" w:lineRule="exact"/>
        <w:jc w:val="left"/>
        <w:rPr>
          <w:rFonts w:ascii="仿宋_GB2312" w:eastAsia="仿宋_GB2312"/>
          <w:sz w:val="32"/>
          <w:szCs w:val="32"/>
        </w:rPr>
      </w:pPr>
      <w:r>
        <w:rPr>
          <w:rFonts w:ascii="仿宋_GB2312" w:eastAsia="仿宋_GB2312"/>
          <w:sz w:val="32"/>
          <w:szCs w:val="32"/>
        </w:rPr>
        <w:t>八、国有资本经营预算财政拨款收入支出决算情况说明</w:t>
      </w:r>
    </w:p>
    <w:p>
      <w:pPr>
        <w:widowControl/>
        <w:spacing w:line="560" w:lineRule="exact"/>
        <w:jc w:val="left"/>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rPr>
        <w:t>“</w:t>
      </w:r>
      <w:r>
        <w:rPr>
          <w:rFonts w:ascii="仿宋_GB2312" w:eastAsia="仿宋_GB2312"/>
          <w:sz w:val="32"/>
          <w:szCs w:val="32"/>
        </w:rPr>
        <w:t>三公</w:t>
      </w:r>
      <w:r>
        <w:rPr>
          <w:rFonts w:hint="eastAsia" w:ascii="仿宋_GB2312" w:eastAsia="仿宋_GB2312"/>
          <w:sz w:val="32"/>
          <w:szCs w:val="32"/>
        </w:rPr>
        <w:t>”</w:t>
      </w:r>
      <w:r>
        <w:rPr>
          <w:rFonts w:ascii="仿宋_GB2312" w:eastAsia="仿宋_GB2312"/>
          <w:sz w:val="32"/>
          <w:szCs w:val="32"/>
        </w:rPr>
        <w:t>经费支出决算情况说明</w:t>
      </w:r>
    </w:p>
    <w:p>
      <w:pPr>
        <w:widowControl/>
        <w:spacing w:line="560" w:lineRule="exact"/>
        <w:jc w:val="left"/>
        <w:rPr>
          <w:rFonts w:ascii="仿宋_GB2312" w:eastAsia="仿宋_GB2312"/>
          <w:sz w:val="32"/>
          <w:szCs w:val="32"/>
        </w:rPr>
      </w:pPr>
      <w:r>
        <w:rPr>
          <w:rFonts w:ascii="仿宋_GB2312" w:eastAsia="仿宋_GB2312"/>
          <w:sz w:val="32"/>
          <w:szCs w:val="32"/>
        </w:rPr>
        <w:t>十、其他重要事项的情况说明</w:t>
      </w:r>
    </w:p>
    <w:p>
      <w:pPr>
        <w:widowControl/>
        <w:spacing w:line="560" w:lineRule="exact"/>
        <w:jc w:val="left"/>
        <w:rPr>
          <w:rFonts w:ascii="仿宋_GB2312" w:eastAsia="仿宋_GB2312"/>
          <w:sz w:val="32"/>
          <w:szCs w:val="32"/>
        </w:rPr>
      </w:pPr>
      <w:r>
        <w:rPr>
          <w:rFonts w:ascii="仿宋_GB2312" w:eastAsia="仿宋_GB2312"/>
          <w:sz w:val="32"/>
          <w:szCs w:val="32"/>
        </w:rPr>
        <w:t>（一）机关运行经费及公用经费支出情况</w:t>
      </w:r>
    </w:p>
    <w:p>
      <w:pPr>
        <w:widowControl/>
        <w:spacing w:line="560" w:lineRule="exact"/>
        <w:jc w:val="left"/>
        <w:rPr>
          <w:rFonts w:ascii="仿宋_GB2312" w:eastAsia="仿宋_GB2312"/>
          <w:sz w:val="32"/>
          <w:szCs w:val="32"/>
        </w:rPr>
      </w:pPr>
      <w:r>
        <w:rPr>
          <w:rFonts w:ascii="仿宋_GB2312" w:eastAsia="仿宋_GB2312"/>
          <w:sz w:val="32"/>
          <w:szCs w:val="32"/>
        </w:rPr>
        <w:t>（二）政府采购情况</w:t>
      </w:r>
    </w:p>
    <w:p>
      <w:pPr>
        <w:widowControl/>
        <w:spacing w:line="560" w:lineRule="exact"/>
        <w:jc w:val="left"/>
        <w:rPr>
          <w:rFonts w:ascii="仿宋_GB2312" w:eastAsia="仿宋_GB2312"/>
          <w:sz w:val="32"/>
          <w:szCs w:val="32"/>
        </w:rPr>
      </w:pPr>
      <w:r>
        <w:rPr>
          <w:rFonts w:ascii="仿宋_GB2312" w:eastAsia="仿宋_GB2312"/>
          <w:sz w:val="32"/>
          <w:szCs w:val="32"/>
        </w:rPr>
        <w:t>（三）国有资产占用情况说明</w:t>
      </w:r>
    </w:p>
    <w:p>
      <w:pPr>
        <w:widowControl/>
        <w:spacing w:line="560" w:lineRule="exact"/>
        <w:jc w:val="left"/>
        <w:rPr>
          <w:rFonts w:ascii="仿宋_GB2312" w:eastAsia="仿宋_GB2312"/>
          <w:sz w:val="32"/>
          <w:szCs w:val="32"/>
        </w:rPr>
      </w:pPr>
      <w:r>
        <w:rPr>
          <w:rFonts w:ascii="仿宋_GB2312" w:eastAsia="仿宋_GB2312"/>
          <w:sz w:val="32"/>
          <w:szCs w:val="32"/>
        </w:rPr>
        <w:t>十一、预算绩效的情况说明</w:t>
      </w:r>
    </w:p>
    <w:p>
      <w:pPr>
        <w:widowControl/>
        <w:spacing w:line="560" w:lineRule="exact"/>
        <w:jc w:val="left"/>
        <w:rPr>
          <w:rFonts w:ascii="仿宋_GB2312" w:eastAsia="仿宋_GB2312"/>
          <w:sz w:val="32"/>
          <w:szCs w:val="32"/>
        </w:rPr>
      </w:pPr>
      <w:r>
        <w:rPr>
          <w:rFonts w:ascii="仿宋_GB2312" w:eastAsia="仿宋_GB2312"/>
          <w:sz w:val="32"/>
          <w:szCs w:val="32"/>
        </w:rPr>
        <w:t>十二、其他需说明的事项</w:t>
      </w:r>
    </w:p>
    <w:p>
      <w:pPr>
        <w:widowControl/>
        <w:spacing w:line="560" w:lineRule="exact"/>
        <w:jc w:val="left"/>
        <w:rPr>
          <w:rFonts w:ascii="仿宋_GB2312" w:eastAsia="仿宋_GB2312"/>
          <w:sz w:val="32"/>
          <w:szCs w:val="32"/>
        </w:rPr>
      </w:pPr>
      <w:r>
        <w:rPr>
          <w:rFonts w:ascii="仿宋_GB2312" w:eastAsia="仿宋_GB2312"/>
          <w:b/>
          <w:sz w:val="32"/>
          <w:szCs w:val="32"/>
        </w:rPr>
        <w:t>第三部分</w:t>
      </w:r>
      <w:r>
        <w:rPr>
          <w:rFonts w:hint="eastAsia" w:ascii="仿宋_GB2312" w:eastAsia="仿宋_GB2312"/>
          <w:b/>
          <w:sz w:val="32"/>
          <w:szCs w:val="32"/>
        </w:rPr>
        <w:t xml:space="preserve"> </w:t>
      </w:r>
      <w:r>
        <w:rPr>
          <w:rFonts w:ascii="仿宋_GB2312" w:eastAsia="仿宋_GB2312"/>
          <w:b/>
          <w:sz w:val="32"/>
          <w:szCs w:val="32"/>
        </w:rPr>
        <w:t>专业名词解释</w:t>
      </w:r>
    </w:p>
    <w:p>
      <w:pPr>
        <w:widowControl/>
        <w:spacing w:line="560" w:lineRule="exact"/>
        <w:jc w:val="left"/>
        <w:rPr>
          <w:rFonts w:ascii="仿宋_GB2312" w:eastAsia="仿宋_GB2312"/>
          <w:sz w:val="32"/>
          <w:szCs w:val="32"/>
        </w:rPr>
      </w:pPr>
      <w:r>
        <w:rPr>
          <w:rFonts w:ascii="仿宋_GB2312" w:eastAsia="仿宋_GB2312"/>
          <w:b/>
          <w:sz w:val="32"/>
          <w:szCs w:val="32"/>
        </w:rPr>
        <w:t>第四部分</w:t>
      </w:r>
      <w:r>
        <w:rPr>
          <w:rFonts w:hint="eastAsia" w:ascii="仿宋_GB2312" w:eastAsia="仿宋_GB2312"/>
          <w:b/>
          <w:sz w:val="32"/>
          <w:szCs w:val="32"/>
        </w:rPr>
        <w:t xml:space="preserve"> </w:t>
      </w:r>
      <w:r>
        <w:rPr>
          <w:rFonts w:ascii="仿宋_GB2312" w:eastAsia="仿宋_GB2312"/>
          <w:b/>
          <w:sz w:val="32"/>
          <w:szCs w:val="32"/>
        </w:rPr>
        <w:t>部门决算报表（见附</w:t>
      </w:r>
      <w:r>
        <w:rPr>
          <w:rFonts w:hint="eastAsia" w:ascii="仿宋_GB2312" w:eastAsia="仿宋_GB2312"/>
          <w:b/>
          <w:sz w:val="32"/>
          <w:szCs w:val="32"/>
        </w:rPr>
        <w:t>件1</w:t>
      </w:r>
      <w:r>
        <w:rPr>
          <w:rFonts w:ascii="仿宋_GB2312" w:eastAsia="仿宋_GB2312"/>
          <w:b/>
          <w:sz w:val="32"/>
          <w:szCs w:val="32"/>
        </w:rPr>
        <w:t>）</w:t>
      </w:r>
    </w:p>
    <w:p>
      <w:pPr>
        <w:widowControl/>
        <w:spacing w:line="560" w:lineRule="exact"/>
        <w:jc w:val="left"/>
        <w:rPr>
          <w:rFonts w:ascii="仿宋_GB2312" w:eastAsia="仿宋_GB2312"/>
          <w:sz w:val="32"/>
          <w:szCs w:val="32"/>
        </w:rPr>
      </w:pPr>
      <w:r>
        <w:rPr>
          <w:rFonts w:ascii="仿宋_GB2312" w:eastAsia="仿宋_GB2312"/>
          <w:sz w:val="32"/>
          <w:szCs w:val="32"/>
        </w:rPr>
        <w:t>一、《收入支出决算总表》</w:t>
      </w:r>
    </w:p>
    <w:p>
      <w:pPr>
        <w:widowControl/>
        <w:spacing w:line="560" w:lineRule="exact"/>
        <w:jc w:val="left"/>
        <w:rPr>
          <w:rFonts w:ascii="仿宋_GB2312" w:eastAsia="仿宋_GB2312"/>
          <w:sz w:val="32"/>
          <w:szCs w:val="32"/>
        </w:rPr>
      </w:pPr>
      <w:r>
        <w:rPr>
          <w:rFonts w:ascii="仿宋_GB2312" w:eastAsia="仿宋_GB2312"/>
          <w:sz w:val="32"/>
          <w:szCs w:val="32"/>
        </w:rPr>
        <w:t>二、《收入决算表》</w:t>
      </w:r>
    </w:p>
    <w:p>
      <w:pPr>
        <w:widowControl/>
        <w:spacing w:line="560" w:lineRule="exact"/>
        <w:jc w:val="left"/>
        <w:rPr>
          <w:rFonts w:ascii="仿宋_GB2312" w:eastAsia="仿宋_GB2312"/>
          <w:sz w:val="32"/>
          <w:szCs w:val="32"/>
        </w:rPr>
      </w:pPr>
      <w:r>
        <w:rPr>
          <w:rFonts w:ascii="仿宋_GB2312" w:eastAsia="仿宋_GB2312"/>
          <w:sz w:val="32"/>
          <w:szCs w:val="32"/>
        </w:rPr>
        <w:t>三、《支出决算表》</w:t>
      </w:r>
    </w:p>
    <w:p>
      <w:pPr>
        <w:widowControl/>
        <w:spacing w:line="560" w:lineRule="exact"/>
        <w:jc w:val="left"/>
        <w:rPr>
          <w:rFonts w:ascii="仿宋_GB2312" w:eastAsia="仿宋_GB2312"/>
          <w:sz w:val="32"/>
          <w:szCs w:val="32"/>
        </w:rPr>
      </w:pPr>
      <w:r>
        <w:rPr>
          <w:rFonts w:ascii="仿宋_GB2312" w:eastAsia="仿宋_GB2312"/>
          <w:sz w:val="32"/>
          <w:szCs w:val="32"/>
        </w:rPr>
        <w:t>四、《财政拨款收入支出决算总表》</w:t>
      </w:r>
    </w:p>
    <w:p>
      <w:pPr>
        <w:widowControl/>
        <w:spacing w:line="560" w:lineRule="exact"/>
        <w:jc w:val="left"/>
        <w:rPr>
          <w:rFonts w:ascii="仿宋_GB2312" w:eastAsia="仿宋_GB2312"/>
          <w:sz w:val="32"/>
          <w:szCs w:val="32"/>
        </w:rPr>
      </w:pPr>
      <w:r>
        <w:rPr>
          <w:rFonts w:ascii="仿宋_GB2312" w:eastAsia="仿宋_GB2312"/>
          <w:sz w:val="32"/>
          <w:szCs w:val="32"/>
        </w:rPr>
        <w:t>五、《一般公共预算财政拨款支出决算表》</w:t>
      </w:r>
    </w:p>
    <w:p>
      <w:pPr>
        <w:widowControl/>
        <w:spacing w:line="560" w:lineRule="exact"/>
        <w:jc w:val="left"/>
        <w:rPr>
          <w:rFonts w:ascii="仿宋_GB2312" w:eastAsia="仿宋_GB2312"/>
          <w:sz w:val="32"/>
          <w:szCs w:val="32"/>
        </w:rPr>
      </w:pPr>
      <w:r>
        <w:rPr>
          <w:rFonts w:ascii="仿宋_GB2312" w:eastAsia="仿宋_GB2312"/>
          <w:sz w:val="32"/>
          <w:szCs w:val="32"/>
        </w:rPr>
        <w:t>六、《一般公共预算财政拨款基本支出决算表》</w:t>
      </w:r>
    </w:p>
    <w:p>
      <w:pPr>
        <w:widowControl/>
        <w:spacing w:line="560" w:lineRule="exact"/>
        <w:jc w:val="left"/>
        <w:rPr>
          <w:rFonts w:ascii="仿宋_GB2312" w:eastAsia="仿宋_GB2312"/>
          <w:sz w:val="32"/>
          <w:szCs w:val="32"/>
        </w:rPr>
      </w:pPr>
      <w:r>
        <w:rPr>
          <w:rFonts w:ascii="仿宋_GB2312" w:eastAsia="仿宋_GB2312"/>
          <w:sz w:val="32"/>
          <w:szCs w:val="32"/>
        </w:rPr>
        <w:t>七、《政府性基金预算财政拨款收入支出决算表》</w:t>
      </w:r>
    </w:p>
    <w:p>
      <w:pPr>
        <w:widowControl/>
        <w:spacing w:line="560" w:lineRule="exact"/>
        <w:jc w:val="left"/>
        <w:rPr>
          <w:rFonts w:ascii="仿宋_GB2312" w:eastAsia="仿宋_GB2312"/>
          <w:sz w:val="32"/>
          <w:szCs w:val="32"/>
        </w:rPr>
      </w:pPr>
      <w:r>
        <w:rPr>
          <w:rFonts w:ascii="仿宋_GB2312" w:eastAsia="仿宋_GB2312"/>
          <w:sz w:val="32"/>
          <w:szCs w:val="32"/>
        </w:rPr>
        <w:t>八、《国有资本经营预算财政拨款收入支出决算表》</w:t>
      </w:r>
    </w:p>
    <w:p>
      <w:pPr>
        <w:widowControl/>
        <w:spacing w:line="560" w:lineRule="exact"/>
        <w:jc w:val="left"/>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rPr>
        <w:t>“</w:t>
      </w:r>
      <w:r>
        <w:rPr>
          <w:rFonts w:ascii="仿宋_GB2312" w:eastAsia="仿宋_GB2312"/>
          <w:sz w:val="32"/>
          <w:szCs w:val="32"/>
        </w:rPr>
        <w:t>三公</w:t>
      </w:r>
      <w:r>
        <w:rPr>
          <w:rFonts w:hint="eastAsia" w:ascii="仿宋_GB2312" w:eastAsia="仿宋_GB2312"/>
          <w:sz w:val="32"/>
          <w:szCs w:val="32"/>
        </w:rPr>
        <w:t>”</w:t>
      </w:r>
      <w:r>
        <w:rPr>
          <w:rFonts w:ascii="仿宋_GB2312" w:eastAsia="仿宋_GB2312"/>
          <w:sz w:val="32"/>
          <w:szCs w:val="32"/>
        </w:rPr>
        <w:t>经费支出决算表》</w:t>
      </w:r>
    </w:p>
    <w:p>
      <w:pPr>
        <w:widowControl/>
        <w:spacing w:line="560" w:lineRule="exact"/>
        <w:jc w:val="left"/>
        <w:rPr>
          <w:rFonts w:hint="eastAsia"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rPr>
        <w:t>五</w:t>
      </w:r>
      <w:r>
        <w:rPr>
          <w:rFonts w:ascii="仿宋_GB2312" w:eastAsia="仿宋_GB2312"/>
          <w:b/>
          <w:sz w:val="32"/>
          <w:szCs w:val="32"/>
        </w:rPr>
        <w:t>部分</w:t>
      </w:r>
      <w:r>
        <w:rPr>
          <w:rFonts w:hint="eastAsia" w:ascii="仿宋_GB2312" w:eastAsia="仿宋_GB2312"/>
          <w:b/>
          <w:sz w:val="32"/>
          <w:szCs w:val="32"/>
        </w:rPr>
        <w:t xml:space="preserve"> 项目绩效评价表（见附件2）</w:t>
      </w:r>
    </w:p>
    <w:p>
      <w:pPr>
        <w:widowControl/>
        <w:spacing w:line="560" w:lineRule="exact"/>
      </w:pPr>
      <w:r>
        <w:rPr>
          <w:sz w:val="0"/>
          <w:szCs w:val="0"/>
        </w:rPr>
        <w:br w:type="page"/>
      </w:r>
    </w:p>
    <w:p>
      <w:pPr>
        <w:widowControl/>
        <w:spacing w:line="560" w:lineRule="exact"/>
        <w:jc w:val="center"/>
        <w:outlineLvl w:val="0"/>
        <w:rPr>
          <w:rFonts w:ascii="黑体" w:eastAsia="黑体"/>
          <w:sz w:val="32"/>
          <w:szCs w:val="32"/>
        </w:rPr>
      </w:pPr>
      <w:r>
        <w:rPr>
          <w:rFonts w:ascii="黑体" w:eastAsia="黑体"/>
          <w:sz w:val="32"/>
          <w:szCs w:val="32"/>
        </w:rPr>
        <w:t>第一部分</w:t>
      </w:r>
      <w:r>
        <w:rPr>
          <w:rFonts w:hint="eastAsia" w:ascii="黑体" w:eastAsia="黑体"/>
          <w:sz w:val="32"/>
          <w:szCs w:val="32"/>
        </w:rPr>
        <w:t xml:space="preserve"> </w:t>
      </w:r>
      <w:r>
        <w:rPr>
          <w:rFonts w:ascii="黑体" w:eastAsia="黑体"/>
          <w:sz w:val="32"/>
          <w:szCs w:val="32"/>
        </w:rPr>
        <w:t>单位概况</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一、主要职能</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新疆艺术剧院管弦乐团（新疆爱乐乐团）主要职能：创作演出优秀的交响乐，为观众服务；国内外音乐作品的演出。</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二、机构设置及人员情况</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新疆艺术剧院管弦乐团（新疆爱乐乐团）2024年度，实有人数71人，其中：在职人员53人，减少3人；离休人员0人，</w:t>
      </w:r>
      <w:r>
        <w:rPr>
          <w:rFonts w:hint="eastAsia" w:ascii="仿宋_GB2312" w:eastAsia="仿宋_GB2312"/>
          <w:sz w:val="32"/>
          <w:szCs w:val="32"/>
        </w:rPr>
        <w:t>增加0人</w:t>
      </w:r>
      <w:r>
        <w:rPr>
          <w:rFonts w:ascii="仿宋_GB2312" w:eastAsia="仿宋_GB2312"/>
          <w:sz w:val="32"/>
          <w:szCs w:val="32"/>
        </w:rPr>
        <w:t>；退休人员18人，增加2人。</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新疆艺术剧院管弦乐团（新疆爱乐乐团）无下属预算单位，下设3个</w:t>
      </w:r>
      <w:r>
        <w:rPr>
          <w:rFonts w:hint="eastAsia" w:ascii="仿宋_GB2312" w:eastAsia="仿宋_GB2312"/>
          <w:sz w:val="32"/>
          <w:szCs w:val="32"/>
        </w:rPr>
        <w:t>科</w:t>
      </w:r>
      <w:r>
        <w:rPr>
          <w:rFonts w:ascii="仿宋_GB2312" w:eastAsia="仿宋_GB2312"/>
          <w:sz w:val="32"/>
          <w:szCs w:val="32"/>
        </w:rPr>
        <w:t>室，分别是：办公室、乐队、演出部。</w:t>
      </w:r>
    </w:p>
    <w:p>
      <w:pPr>
        <w:widowControl/>
        <w:spacing w:line="560" w:lineRule="exact"/>
      </w:pPr>
      <w:r>
        <w:rPr>
          <w:sz w:val="0"/>
          <w:szCs w:val="0"/>
        </w:rPr>
        <w:br w:type="page"/>
      </w:r>
    </w:p>
    <w:p>
      <w:pPr>
        <w:widowControl/>
        <w:spacing w:line="560" w:lineRule="exact"/>
        <w:jc w:val="center"/>
        <w:outlineLvl w:val="0"/>
        <w:rPr>
          <w:rFonts w:ascii="黑体" w:eastAsia="黑体"/>
          <w:sz w:val="32"/>
          <w:szCs w:val="32"/>
        </w:rPr>
      </w:pPr>
      <w:r>
        <w:rPr>
          <w:rFonts w:ascii="黑体" w:eastAsia="黑体"/>
          <w:sz w:val="32"/>
          <w:szCs w:val="32"/>
        </w:rPr>
        <w:t>第二部分</w:t>
      </w:r>
      <w:r>
        <w:rPr>
          <w:rFonts w:hint="eastAsia" w:ascii="黑体" w:eastAsia="黑体"/>
          <w:sz w:val="32"/>
          <w:szCs w:val="32"/>
        </w:rPr>
        <w:t xml:space="preserve"> </w:t>
      </w:r>
      <w:r>
        <w:rPr>
          <w:rFonts w:ascii="黑体" w:eastAsia="黑体"/>
          <w:sz w:val="32"/>
          <w:szCs w:val="32"/>
        </w:rPr>
        <w:t>部门决算情况说明</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一、收入支出决算总体情况说明</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2024年度收入总计1,589.27万元，</w:t>
      </w:r>
      <w:r>
        <w:rPr>
          <w:rFonts w:ascii="仿宋_GB2312" w:eastAsia="仿宋_GB2312"/>
          <w:sz w:val="32"/>
          <w:szCs w:val="32"/>
        </w:rPr>
        <w:t>其中：本年收入合计1,531.19万元，使用非财政拨款结余（含专用结余）0.00万元，年初结转和结余58.08万元。</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2024年度支出总计1,589.27万元，</w:t>
      </w:r>
      <w:r>
        <w:rPr>
          <w:rFonts w:ascii="仿宋_GB2312" w:eastAsia="仿宋_GB2312"/>
          <w:sz w:val="32"/>
          <w:szCs w:val="32"/>
        </w:rPr>
        <w:t>其中：本年支出合计1,494.84万元，结余分配0.00万元，年末结转和结余94.43万元。</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sz w:val="32"/>
          <w:szCs w:val="32"/>
        </w:rPr>
        <w:t>，增加51.96万元，增长3.38%，主要原因是：增加临时完成的商业演出</w:t>
      </w:r>
      <w:r>
        <w:rPr>
          <w:rFonts w:hint="eastAsia" w:ascii="仿宋_GB2312" w:eastAsia="仿宋_GB2312"/>
          <w:sz w:val="32"/>
          <w:szCs w:val="32"/>
        </w:rPr>
        <w:t>的事业收入</w:t>
      </w:r>
      <w:r>
        <w:rPr>
          <w:rFonts w:ascii="仿宋_GB2312" w:eastAsia="仿宋_GB2312"/>
          <w:sz w:val="32"/>
          <w:szCs w:val="32"/>
        </w:rPr>
        <w:t>。年末结转和结余增加为当年末应付未付的结转和结余。</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二、收入决算情况说明</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本年收入1,531.19万元，</w:t>
      </w:r>
      <w:r>
        <w:rPr>
          <w:rFonts w:ascii="仿宋_GB2312" w:eastAsia="仿宋_GB2312"/>
          <w:sz w:val="32"/>
          <w:szCs w:val="32"/>
        </w:rPr>
        <w:t>其中：财政拨款收入1,392.01万元,占90.91%；上级补助收入0.00万元,占0.00%；事业收入138.99万元，占9.08%；经营收入0.00万元,占0.00%；附属单位上缴收入0.00万元，占0.00%；其他收入0.18万元，占0.01%。</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三、支出决算情况说明</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本年支出1,494.84万元，</w:t>
      </w:r>
      <w:r>
        <w:rPr>
          <w:rFonts w:ascii="仿宋_GB2312" w:eastAsia="仿宋_GB2312"/>
          <w:sz w:val="32"/>
          <w:szCs w:val="32"/>
        </w:rPr>
        <w:t>其中：基本支出1,034.84万元，占69.23%；项目支出460.00万元，占30.77%；上缴上级支出0.00万元，占0.00%；经营支出0.00万元，占0.00%；对附属单位补助支出0.00万元，占0.00%。</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2024年度财政拨款收入总计1,392.01万元，</w:t>
      </w:r>
      <w:r>
        <w:rPr>
          <w:rFonts w:ascii="仿宋_GB2312" w:eastAsia="仿宋_GB2312"/>
          <w:sz w:val="32"/>
          <w:szCs w:val="32"/>
        </w:rPr>
        <w:t>其中：年初财政拨款结转和结余0.00万元，本年财政拨款收入1,392.01万元。</w:t>
      </w:r>
      <w:r>
        <w:rPr>
          <w:rFonts w:ascii="仿宋_GB2312" w:eastAsia="仿宋_GB2312"/>
          <w:b/>
          <w:bCs/>
          <w:sz w:val="32"/>
          <w:szCs w:val="32"/>
        </w:rPr>
        <w:t>财政拨款支出总计1,392.01万元，</w:t>
      </w:r>
      <w:r>
        <w:rPr>
          <w:rFonts w:ascii="仿宋_GB2312" w:eastAsia="仿宋_GB2312"/>
          <w:sz w:val="32"/>
          <w:szCs w:val="32"/>
        </w:rPr>
        <w:t>其中：年末财政拨款结转和结余0.00万元，本年财政拨款支出1,392.01万元。</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sz w:val="32"/>
          <w:szCs w:val="32"/>
        </w:rPr>
        <w:t>减少66.42万元，下降4.55%，主要原因是：一般公共预算项目支出减少21.21万元，主要为自治区旅游发展专项资金预算减少；基本支出减少45.21万元，为在职人员减少3人，相应经费减少。</w:t>
      </w:r>
      <w:r>
        <w:rPr>
          <w:rFonts w:ascii="仿宋_GB2312" w:eastAsia="仿宋_GB2312"/>
          <w:b/>
          <w:bCs/>
          <w:sz w:val="32"/>
          <w:szCs w:val="32"/>
        </w:rPr>
        <w:t>与年初预算相比，</w:t>
      </w:r>
      <w:r>
        <w:rPr>
          <w:rFonts w:ascii="仿宋_GB2312" w:eastAsia="仿宋_GB2312"/>
          <w:sz w:val="32"/>
          <w:szCs w:val="32"/>
        </w:rPr>
        <w:t>年初预算数1,183.70万元，决算数1,392.01万元，预决算差异率17.60%，主要原因是：年中追加一般公共预算项目支出130.00万元，其中增加2024自治区文化艺术创作专项扶持资金70.00万元，2024年自治区旅游发展专项资金预算（第三批）60.00万元；追加一般公共预算基本支出78.31万元，为追加驻村工作经费（为民办实事）。</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pPr>
        <w:widowControl/>
        <w:spacing w:line="560" w:lineRule="exact"/>
        <w:ind w:firstLine="640" w:firstLineChars="200"/>
        <w:jc w:val="left"/>
        <w:outlineLvl w:val="2"/>
        <w:rPr>
          <w:rFonts w:ascii="黑体" w:eastAsia="黑体"/>
          <w:bCs/>
          <w:sz w:val="32"/>
          <w:szCs w:val="32"/>
        </w:rPr>
      </w:pPr>
      <w:r>
        <w:rPr>
          <w:rFonts w:ascii="黑体" w:eastAsia="黑体"/>
          <w:bCs/>
          <w:sz w:val="32"/>
          <w:szCs w:val="32"/>
        </w:rPr>
        <w:t>（一）一般公共预算财政拨款支出决算总体情况</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2024年度一般公共预算财政拨款支出1,392.01万元，</w:t>
      </w:r>
      <w:r>
        <w:rPr>
          <w:rFonts w:ascii="仿宋_GB2312" w:eastAsia="仿宋_GB2312"/>
          <w:sz w:val="32"/>
          <w:szCs w:val="32"/>
        </w:rPr>
        <w:t>占本年支出合计的93.12%。</w:t>
      </w:r>
      <w:r>
        <w:rPr>
          <w:rFonts w:ascii="仿宋_GB2312" w:eastAsia="仿宋_GB2312"/>
          <w:b/>
          <w:bCs/>
          <w:sz w:val="32"/>
          <w:szCs w:val="32"/>
        </w:rPr>
        <w:t>与上年相比，</w:t>
      </w:r>
      <w:r>
        <w:rPr>
          <w:rFonts w:ascii="仿宋_GB2312" w:eastAsia="仿宋_GB2312"/>
          <w:sz w:val="32"/>
          <w:szCs w:val="32"/>
        </w:rPr>
        <w:t>减少66.42万元，下降4.55%，主要原因是：一般公共预算项目支出减少21.21万元，主要为自治区旅游发展专项资金预算减少；基本支出减少45.21万元，为在职人员减少3人，相应经费减少。</w:t>
      </w:r>
      <w:r>
        <w:rPr>
          <w:rFonts w:ascii="仿宋_GB2312" w:eastAsia="仿宋_GB2312"/>
          <w:b/>
          <w:bCs/>
          <w:sz w:val="32"/>
          <w:szCs w:val="32"/>
        </w:rPr>
        <w:t>与年初预算相比，</w:t>
      </w:r>
      <w:r>
        <w:rPr>
          <w:rFonts w:ascii="仿宋_GB2312" w:eastAsia="仿宋_GB2312"/>
          <w:sz w:val="32"/>
          <w:szCs w:val="32"/>
        </w:rPr>
        <w:t>年初预算数1,183.70万元，决算数1,392.01万元，预决算差异率17.60%，主要原因是：年中追加一般公共预算项目支出130.00万元，其中增加2024自治区文化艺术创作专项扶持资金70.00万元，2024年自治区旅游发展专项资金预算（第三批）60.00万元；追加一般公共预算基本支出78.31万元，为追加驻村工作经费（为民办实事）。</w:t>
      </w:r>
    </w:p>
    <w:p>
      <w:pPr>
        <w:widowControl/>
        <w:spacing w:line="560" w:lineRule="exact"/>
        <w:ind w:firstLine="640" w:firstLineChars="200"/>
        <w:jc w:val="left"/>
        <w:outlineLvl w:val="2"/>
        <w:rPr>
          <w:rFonts w:ascii="黑体" w:eastAsia="黑体"/>
          <w:bCs/>
          <w:sz w:val="32"/>
          <w:szCs w:val="32"/>
        </w:rPr>
      </w:pPr>
      <w:r>
        <w:rPr>
          <w:rFonts w:ascii="黑体" w:eastAsia="黑体"/>
          <w:bCs/>
          <w:sz w:val="32"/>
          <w:szCs w:val="32"/>
        </w:rPr>
        <w:t>（二）一般公共预算财政拨款支出决算结构情况</w:t>
      </w:r>
    </w:p>
    <w:p>
      <w:pPr>
        <w:widowControl/>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文化旅游体育与传媒支出（类）1,392.01万元，占100.00%。</w:t>
      </w:r>
    </w:p>
    <w:p>
      <w:pPr>
        <w:widowControl/>
        <w:spacing w:line="560" w:lineRule="exact"/>
        <w:ind w:firstLine="640" w:firstLineChars="200"/>
        <w:jc w:val="left"/>
        <w:outlineLvl w:val="2"/>
        <w:rPr>
          <w:rFonts w:ascii="黑体" w:eastAsia="黑体"/>
          <w:bCs/>
          <w:sz w:val="32"/>
          <w:szCs w:val="32"/>
        </w:rPr>
      </w:pPr>
      <w:r>
        <w:rPr>
          <w:rFonts w:ascii="黑体" w:eastAsia="黑体"/>
          <w:bCs/>
          <w:sz w:val="32"/>
          <w:szCs w:val="32"/>
        </w:rPr>
        <w:t>（三）一般公共预算财政拨款支出决算具体情况</w:t>
      </w:r>
    </w:p>
    <w:p>
      <w:pPr>
        <w:widowControl/>
        <w:spacing w:line="560" w:lineRule="exact"/>
        <w:ind w:firstLine="640" w:firstLineChars="200"/>
        <w:rPr>
          <w:rFonts w:ascii="仿宋_GB2312" w:eastAsia="仿宋_GB2312"/>
          <w:sz w:val="32"/>
          <w:szCs w:val="32"/>
          <w:highlight w:val="yellow"/>
        </w:rPr>
      </w:pPr>
      <w:r>
        <w:rPr>
          <w:rFonts w:hint="eastAsia" w:ascii="仿宋_GB2312" w:eastAsia="仿宋_GB2312"/>
          <w:sz w:val="32"/>
          <w:szCs w:val="32"/>
        </w:rPr>
        <w:t>1.</w:t>
      </w:r>
      <w:r>
        <w:rPr>
          <w:rFonts w:ascii="仿宋_GB2312" w:eastAsia="仿宋_GB2312"/>
          <w:sz w:val="32"/>
          <w:szCs w:val="32"/>
        </w:rPr>
        <w:t>文化旅游体育与传媒支出（类）文化和旅游（款）艺术表演团体（项）：支出决算数为1,172.01万元，比上年决算增加66.83万元，增长6.05%，主要原因是：自治区本级政府购买演出项目经费</w:t>
      </w:r>
      <w:r>
        <w:rPr>
          <w:rFonts w:hint="eastAsia" w:ascii="仿宋_GB2312" w:eastAsia="仿宋_GB2312"/>
          <w:sz w:val="32"/>
          <w:szCs w:val="32"/>
        </w:rPr>
        <w:t>增加</w:t>
      </w:r>
      <w:r>
        <w:rPr>
          <w:rFonts w:ascii="仿宋_GB2312" w:eastAsia="仿宋_GB2312"/>
          <w:sz w:val="32"/>
          <w:szCs w:val="32"/>
        </w:rPr>
        <w:t>30.00万元，</w:t>
      </w:r>
      <w:r>
        <w:rPr>
          <w:rFonts w:hint="eastAsia" w:ascii="仿宋_GB2312" w:eastAsia="仿宋_GB2312"/>
          <w:sz w:val="32"/>
          <w:szCs w:val="32"/>
        </w:rPr>
        <w:t>基本经费中驻村工作经费（为民办实事）增加</w:t>
      </w:r>
      <w:r>
        <w:rPr>
          <w:rFonts w:ascii="仿宋_GB2312" w:eastAsia="仿宋_GB2312"/>
          <w:sz w:val="32"/>
          <w:szCs w:val="32"/>
        </w:rPr>
        <w:t>36.83万元</w:t>
      </w:r>
      <w:r>
        <w:rPr>
          <w:rFonts w:hint="eastAsia" w:ascii="仿宋_GB2312" w:eastAsia="仿宋_GB2312"/>
          <w:sz w:val="32"/>
          <w:szCs w:val="32"/>
        </w:rPr>
        <w:t>。</w:t>
      </w:r>
    </w:p>
    <w:p>
      <w:pPr>
        <w:widowControl/>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文化旅游体育与传媒支出（类）文化和旅游（款）文化创作与保护（项）：支出决算数为70.00万元，比上年决算减少16.21万元，下降18.80%，主要原因是：文化创作与保护项目预算减少16.21万元，支出相应减少。</w:t>
      </w:r>
    </w:p>
    <w:p>
      <w:pPr>
        <w:widowControl/>
        <w:spacing w:line="560" w:lineRule="exact"/>
        <w:ind w:firstLine="640" w:firstLineChars="200"/>
        <w:rPr>
          <w:rFonts w:ascii="仿宋_GB2312" w:eastAsia="仿宋_GB2312"/>
          <w:sz w:val="32"/>
          <w:szCs w:val="32"/>
        </w:rPr>
      </w:pPr>
      <w:r>
        <w:rPr>
          <w:rFonts w:hint="eastAsia" w:ascii="仿宋_GB2312" w:eastAsia="仿宋_GB2312"/>
          <w:sz w:val="32"/>
          <w:szCs w:val="32"/>
        </w:rPr>
        <w:t>3.</w:t>
      </w:r>
      <w:r>
        <w:rPr>
          <w:rFonts w:ascii="仿宋_GB2312" w:eastAsia="仿宋_GB2312"/>
          <w:sz w:val="32"/>
          <w:szCs w:val="32"/>
        </w:rPr>
        <w:t>文化旅游体育与传媒支出（类）文化和旅游（款）旅游宣传（项）：支出决算数为60.00万元，比上年决算增加60.00万元，增长100.00%，主要原因是：本年新增2024年自治区旅游发展专项资金预算（第三批）60.00万元，用于文旅融合驻场演出。</w:t>
      </w:r>
    </w:p>
    <w:p>
      <w:pPr>
        <w:widowControl/>
        <w:spacing w:line="560" w:lineRule="exact"/>
        <w:ind w:firstLine="640" w:firstLineChars="200"/>
        <w:rPr>
          <w:rFonts w:ascii="仿宋_GB2312" w:eastAsia="仿宋_GB2312"/>
          <w:sz w:val="32"/>
          <w:szCs w:val="32"/>
        </w:rPr>
      </w:pPr>
      <w:r>
        <w:rPr>
          <w:rFonts w:hint="eastAsia" w:ascii="仿宋_GB2312" w:eastAsia="仿宋_GB2312"/>
          <w:sz w:val="32"/>
          <w:szCs w:val="32"/>
        </w:rPr>
        <w:t>4.</w:t>
      </w:r>
      <w:r>
        <w:rPr>
          <w:rFonts w:ascii="仿宋_GB2312" w:eastAsia="仿宋_GB2312"/>
          <w:sz w:val="32"/>
          <w:szCs w:val="32"/>
        </w:rPr>
        <w:t>文化旅游体育与传媒支出（类）文化和旅游（款）其他文化和旅游支出（项）：支出决算数为40.00万元，比上年决算减少45.00万元，下降52.94%，主要原因是：本年</w:t>
      </w:r>
      <w:r>
        <w:rPr>
          <w:rFonts w:hint="eastAsia" w:ascii="仿宋_GB2312" w:eastAsia="仿宋_GB2312"/>
          <w:sz w:val="32"/>
          <w:szCs w:val="32"/>
        </w:rPr>
        <w:t>自治区文化艺术创作专项扶持资金</w:t>
      </w:r>
      <w:r>
        <w:rPr>
          <w:rFonts w:ascii="仿宋_GB2312" w:eastAsia="仿宋_GB2312"/>
          <w:sz w:val="32"/>
          <w:szCs w:val="32"/>
        </w:rPr>
        <w:t>预算比上年减少45.00万元，支出决算相应减少。</w:t>
      </w:r>
    </w:p>
    <w:p>
      <w:pPr>
        <w:widowControl/>
        <w:spacing w:line="560" w:lineRule="exact"/>
        <w:ind w:firstLine="640" w:firstLineChars="200"/>
        <w:rPr>
          <w:rFonts w:ascii="仿宋_GB2312" w:eastAsia="仿宋_GB2312"/>
          <w:sz w:val="32"/>
          <w:szCs w:val="32"/>
        </w:rPr>
      </w:pPr>
      <w:r>
        <w:rPr>
          <w:rFonts w:hint="eastAsia" w:ascii="仿宋_GB2312" w:eastAsia="仿宋_GB2312"/>
          <w:sz w:val="32"/>
          <w:szCs w:val="32"/>
        </w:rPr>
        <w:t>5.</w:t>
      </w:r>
      <w:r>
        <w:rPr>
          <w:rFonts w:ascii="仿宋_GB2312" w:eastAsia="仿宋_GB2312"/>
          <w:sz w:val="32"/>
          <w:szCs w:val="32"/>
        </w:rPr>
        <w:t>文化旅游体育与传媒支出（类）其他文化旅游体育与传媒支出（款）其他文化旅游体育与传媒支出（项）：支出决算数为50.00万元，比上年决算减少50.00万元，下降50.00%，主要原因是：本年</w:t>
      </w:r>
      <w:r>
        <w:rPr>
          <w:rFonts w:hint="eastAsia" w:ascii="仿宋_GB2312" w:eastAsia="仿宋_GB2312"/>
          <w:sz w:val="32"/>
          <w:szCs w:val="32"/>
        </w:rPr>
        <w:t>中央补助地方公共文化服务体系建设补助资金—文旅厅专项经费</w:t>
      </w:r>
      <w:r>
        <w:rPr>
          <w:rFonts w:ascii="仿宋_GB2312" w:eastAsia="仿宋_GB2312"/>
          <w:sz w:val="32"/>
          <w:szCs w:val="32"/>
        </w:rPr>
        <w:t>预算比上年减少50.00万元，支出决算相应减少。</w:t>
      </w:r>
    </w:p>
    <w:p>
      <w:pPr>
        <w:widowControl/>
        <w:spacing w:line="560" w:lineRule="exact"/>
        <w:ind w:firstLine="640" w:firstLineChars="200"/>
        <w:rPr>
          <w:rFonts w:ascii="仿宋_GB2312" w:eastAsia="仿宋_GB2312"/>
          <w:sz w:val="32"/>
          <w:szCs w:val="32"/>
        </w:rPr>
      </w:pPr>
      <w:r>
        <w:rPr>
          <w:rFonts w:hint="eastAsia" w:ascii="仿宋_GB2312" w:eastAsia="仿宋_GB2312"/>
          <w:sz w:val="32"/>
          <w:szCs w:val="32"/>
        </w:rPr>
        <w:t>6.</w:t>
      </w:r>
      <w:r>
        <w:rPr>
          <w:rFonts w:ascii="仿宋_GB2312" w:eastAsia="仿宋_GB2312"/>
          <w:sz w:val="32"/>
          <w:szCs w:val="32"/>
        </w:rPr>
        <w:t>住房保障支出（类）住房改革支出（款）住房公积金（项）：支出决算数为0.00万元，比上年决算减少82.04万元，下降100.00%，主要原因是：上年因预算功能科目出错，本年已更正。</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2024年度一般公共预算财政拨款基本支出932.01万元，其中：</w:t>
      </w:r>
      <w:r>
        <w:rPr>
          <w:rFonts w:ascii="仿宋_GB2312" w:eastAsia="仿宋_GB2312"/>
          <w:b/>
          <w:bCs/>
          <w:sz w:val="32"/>
          <w:szCs w:val="32"/>
        </w:rPr>
        <w:t>人员经费863.21万元，</w:t>
      </w:r>
      <w:r>
        <w:rPr>
          <w:rFonts w:ascii="仿宋_GB2312" w:eastAsia="仿宋_GB2312"/>
          <w:sz w:val="32"/>
          <w:szCs w:val="32"/>
        </w:rPr>
        <w:t>包括：基本工资、津贴补贴、奖金、绩效工资、机关事业单位基本养老保险缴费、职业年金缴费、职工基本医疗保险缴费、公务员医疗补助缴费、其他社会保障缴费、住房公积金和退休费。</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公用经费68.80万元，</w:t>
      </w:r>
      <w:r>
        <w:rPr>
          <w:rFonts w:ascii="仿宋_GB2312" w:eastAsia="仿宋_GB2312"/>
          <w:sz w:val="32"/>
          <w:szCs w:val="32"/>
        </w:rPr>
        <w:t>包括：办公费、邮电费、差旅费、工会经费、福利费、其他交通费用和其他商品和服务支出。</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九、财政拨款</w:t>
      </w:r>
      <w:r>
        <w:rPr>
          <w:rFonts w:hint="eastAsia" w:ascii="黑体" w:eastAsia="黑体"/>
          <w:sz w:val="32"/>
          <w:szCs w:val="32"/>
        </w:rPr>
        <w:t>“</w:t>
      </w:r>
      <w:r>
        <w:rPr>
          <w:rFonts w:ascii="黑体" w:eastAsia="黑体"/>
          <w:sz w:val="32"/>
          <w:szCs w:val="32"/>
        </w:rPr>
        <w:t>三公</w:t>
      </w:r>
      <w:r>
        <w:rPr>
          <w:rFonts w:hint="eastAsia" w:ascii="黑体" w:eastAsia="黑体"/>
          <w:sz w:val="32"/>
          <w:szCs w:val="32"/>
        </w:rPr>
        <w:t>”</w:t>
      </w:r>
      <w:r>
        <w:rPr>
          <w:rFonts w:ascii="黑体" w:eastAsia="黑体"/>
          <w:sz w:val="32"/>
          <w:szCs w:val="32"/>
        </w:rPr>
        <w:t>经费支出决算情况说明</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2024年度财政拨款</w:t>
      </w:r>
      <w:r>
        <w:rPr>
          <w:rFonts w:hint="eastAsia" w:ascii="仿宋_GB2312" w:eastAsia="仿宋_GB2312"/>
          <w:b/>
          <w:bCs/>
          <w:sz w:val="32"/>
          <w:szCs w:val="32"/>
        </w:rPr>
        <w:t>“</w:t>
      </w:r>
      <w:r>
        <w:rPr>
          <w:rFonts w:ascii="仿宋_GB2312" w:eastAsia="仿宋_GB2312"/>
          <w:b/>
          <w:bCs/>
          <w:sz w:val="32"/>
          <w:szCs w:val="32"/>
        </w:rPr>
        <w:t>三公</w:t>
      </w:r>
      <w:r>
        <w:rPr>
          <w:rFonts w:hint="eastAsia" w:ascii="仿宋_GB2312" w:eastAsia="仿宋_GB2312"/>
          <w:b/>
          <w:bCs/>
          <w:sz w:val="32"/>
          <w:szCs w:val="32"/>
        </w:rPr>
        <w:t>”</w:t>
      </w:r>
      <w:r>
        <w:rPr>
          <w:rFonts w:ascii="仿宋_GB2312" w:eastAsia="仿宋_GB2312"/>
          <w:b/>
          <w:bCs/>
          <w:sz w:val="32"/>
          <w:szCs w:val="32"/>
        </w:rPr>
        <w:t>经费支出2.00万元，</w:t>
      </w:r>
      <w:r>
        <w:rPr>
          <w:rFonts w:hint="eastAsia" w:ascii="仿宋_GB2312" w:eastAsia="仿宋_GB2312"/>
          <w:sz w:val="32"/>
          <w:szCs w:val="32"/>
        </w:rPr>
        <w:t>比上年增加0万元</w:t>
      </w:r>
      <w:r>
        <w:rPr>
          <w:rFonts w:ascii="仿宋_GB2312" w:eastAsia="仿宋_GB2312"/>
          <w:sz w:val="32"/>
          <w:szCs w:val="32"/>
        </w:rPr>
        <w:t>，</w:t>
      </w:r>
      <w:r>
        <w:rPr>
          <w:rFonts w:hint="eastAsia" w:ascii="仿宋_GB2312" w:eastAsia="仿宋_GB2312"/>
          <w:sz w:val="32"/>
          <w:szCs w:val="32"/>
        </w:rPr>
        <w:t>增长0%，</w:t>
      </w:r>
      <w:r>
        <w:rPr>
          <w:rFonts w:ascii="仿宋_GB2312" w:eastAsia="仿宋_GB2312"/>
          <w:sz w:val="32"/>
          <w:szCs w:val="32"/>
        </w:rPr>
        <w:t>主要原因是：单位坚持厉行节约，严格控制</w:t>
      </w:r>
      <w:r>
        <w:rPr>
          <w:rFonts w:hint="eastAsia" w:ascii="仿宋_GB2312" w:eastAsia="仿宋_GB2312"/>
          <w:sz w:val="32"/>
          <w:szCs w:val="32"/>
        </w:rPr>
        <w:t>“</w:t>
      </w:r>
      <w:r>
        <w:rPr>
          <w:rFonts w:ascii="仿宋_GB2312" w:eastAsia="仿宋_GB2312"/>
          <w:sz w:val="32"/>
          <w:szCs w:val="32"/>
        </w:rPr>
        <w:t>三公</w:t>
      </w:r>
      <w:r>
        <w:rPr>
          <w:rFonts w:hint="eastAsia" w:ascii="仿宋_GB2312" w:eastAsia="仿宋_GB2312"/>
          <w:sz w:val="32"/>
          <w:szCs w:val="32"/>
        </w:rPr>
        <w:t>”</w:t>
      </w:r>
      <w:r>
        <w:rPr>
          <w:rFonts w:ascii="仿宋_GB2312" w:eastAsia="仿宋_GB2312"/>
          <w:sz w:val="32"/>
          <w:szCs w:val="32"/>
        </w:rPr>
        <w:t>经费支出。其中：因公出国（境）费支出0.00万元,占0.00%，</w:t>
      </w:r>
      <w:r>
        <w:rPr>
          <w:rFonts w:hint="eastAsia" w:ascii="仿宋_GB2312" w:eastAsia="仿宋_GB2312"/>
          <w:sz w:val="32"/>
          <w:szCs w:val="32"/>
        </w:rPr>
        <w:t>比上年增加0万元</w:t>
      </w:r>
      <w:r>
        <w:rPr>
          <w:rFonts w:ascii="仿宋_GB2312" w:eastAsia="仿宋_GB2312"/>
          <w:sz w:val="32"/>
          <w:szCs w:val="32"/>
        </w:rPr>
        <w:t>，</w:t>
      </w:r>
      <w:r>
        <w:rPr>
          <w:rFonts w:hint="eastAsia" w:ascii="仿宋_GB2312" w:eastAsia="仿宋_GB2312"/>
          <w:sz w:val="32"/>
          <w:szCs w:val="32"/>
        </w:rPr>
        <w:t>增长0%</w:t>
      </w:r>
      <w:r>
        <w:rPr>
          <w:rFonts w:ascii="仿宋_GB2312" w:eastAsia="仿宋_GB2312"/>
          <w:sz w:val="32"/>
          <w:szCs w:val="32"/>
        </w:rPr>
        <w:t>，主要原因是：</w:t>
      </w:r>
      <w:r>
        <w:rPr>
          <w:rFonts w:ascii="仿宋_GB2312" w:eastAsia="仿宋_GB2312"/>
          <w:b w:val="0"/>
          <w:sz w:val="32"/>
          <w:szCs w:val="32"/>
        </w:rPr>
        <w:t>2023年与2024年均未安排因公出国（境）</w:t>
      </w:r>
      <w:r>
        <w:rPr>
          <w:rFonts w:hint="eastAsia" w:ascii="仿宋_GB2312" w:eastAsia="仿宋_GB2312"/>
          <w:b w:val="0"/>
          <w:sz w:val="32"/>
          <w:szCs w:val="32"/>
          <w:lang w:val="en-US" w:eastAsia="zh-CN"/>
        </w:rPr>
        <w:t>经</w:t>
      </w:r>
      <w:r>
        <w:rPr>
          <w:rFonts w:ascii="仿宋_GB2312" w:eastAsia="仿宋_GB2312"/>
          <w:b w:val="0"/>
          <w:sz w:val="32"/>
          <w:szCs w:val="32"/>
        </w:rPr>
        <w:t>费</w:t>
      </w:r>
      <w:r>
        <w:rPr>
          <w:rFonts w:ascii="仿宋_GB2312" w:eastAsia="仿宋_GB2312"/>
          <w:sz w:val="32"/>
          <w:szCs w:val="32"/>
        </w:rPr>
        <w:t>；公务用车购置及运行维护费支出2.00万元，占100.00%，</w:t>
      </w:r>
      <w:r>
        <w:rPr>
          <w:rFonts w:hint="eastAsia" w:ascii="仿宋_GB2312" w:eastAsia="仿宋_GB2312"/>
          <w:sz w:val="32"/>
          <w:szCs w:val="32"/>
        </w:rPr>
        <w:t>比上年增加0万元</w:t>
      </w:r>
      <w:r>
        <w:rPr>
          <w:rFonts w:ascii="仿宋_GB2312" w:eastAsia="仿宋_GB2312"/>
          <w:sz w:val="32"/>
          <w:szCs w:val="32"/>
        </w:rPr>
        <w:t>，</w:t>
      </w:r>
      <w:r>
        <w:rPr>
          <w:rFonts w:hint="eastAsia" w:ascii="仿宋_GB2312" w:eastAsia="仿宋_GB2312"/>
          <w:sz w:val="32"/>
          <w:szCs w:val="32"/>
        </w:rPr>
        <w:t>增长0%</w:t>
      </w:r>
      <w:r>
        <w:rPr>
          <w:rFonts w:ascii="仿宋_GB2312" w:eastAsia="仿宋_GB2312"/>
          <w:sz w:val="32"/>
          <w:szCs w:val="32"/>
        </w:rPr>
        <w:t>，主要原因是：单位坚持厉行节约，严格控制公务用车购置及运行维护费经费支出；公务接待费支出0.00万元，占0.00%，</w:t>
      </w:r>
      <w:r>
        <w:rPr>
          <w:rFonts w:hint="eastAsia" w:ascii="仿宋_GB2312" w:eastAsia="仿宋_GB2312"/>
          <w:sz w:val="32"/>
          <w:szCs w:val="32"/>
        </w:rPr>
        <w:t>比上年增加0万元</w:t>
      </w:r>
      <w:r>
        <w:rPr>
          <w:rFonts w:ascii="仿宋_GB2312" w:eastAsia="仿宋_GB2312"/>
          <w:sz w:val="32"/>
          <w:szCs w:val="32"/>
        </w:rPr>
        <w:t>，</w:t>
      </w:r>
      <w:r>
        <w:rPr>
          <w:rFonts w:hint="eastAsia" w:ascii="仿宋_GB2312" w:eastAsia="仿宋_GB2312"/>
          <w:sz w:val="32"/>
          <w:szCs w:val="32"/>
        </w:rPr>
        <w:t>增长0%</w:t>
      </w:r>
      <w:r>
        <w:rPr>
          <w:rFonts w:ascii="仿宋_GB2312" w:eastAsia="仿宋_GB2312"/>
          <w:sz w:val="32"/>
          <w:szCs w:val="32"/>
        </w:rPr>
        <w:t>，主要原因是：2023年与2024年均未安排公务接待费</w:t>
      </w:r>
      <w:r>
        <w:rPr>
          <w:rFonts w:hint="eastAsia" w:ascii="仿宋_GB2312" w:eastAsia="仿宋_GB2312"/>
          <w:sz w:val="32"/>
          <w:szCs w:val="32"/>
        </w:rPr>
        <w:t>支出</w:t>
      </w:r>
      <w:r>
        <w:rPr>
          <w:rFonts w:ascii="仿宋_GB2312" w:eastAsia="仿宋_GB2312"/>
          <w:sz w:val="32"/>
          <w:szCs w:val="32"/>
        </w:rPr>
        <w:t>。</w:t>
      </w:r>
    </w:p>
    <w:p>
      <w:pPr>
        <w:widowControl/>
        <w:spacing w:line="560" w:lineRule="exact"/>
        <w:ind w:firstLine="642" w:firstLineChars="200"/>
        <w:jc w:val="left"/>
        <w:rPr>
          <w:rFonts w:ascii="仿宋_GB2312" w:eastAsia="仿宋_GB2312"/>
          <w:sz w:val="32"/>
          <w:szCs w:val="32"/>
        </w:rPr>
      </w:pPr>
      <w:r>
        <w:rPr>
          <w:rFonts w:ascii="仿宋_GB2312" w:eastAsia="仿宋_GB2312"/>
          <w:b/>
          <w:bCs/>
          <w:sz w:val="32"/>
          <w:szCs w:val="32"/>
        </w:rPr>
        <w:t>具体情况如下：</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因公出国（境）费支出0.00万元，开支内容包括</w:t>
      </w:r>
      <w:r>
        <w:rPr>
          <w:rFonts w:hint="eastAsia" w:ascii="仿宋_GB2312" w:eastAsia="仿宋_GB2312"/>
          <w:sz w:val="32"/>
          <w:szCs w:val="32"/>
          <w:lang w:eastAsia="zh-CN"/>
        </w:rPr>
        <w:t>：</w:t>
      </w:r>
      <w:r>
        <w:rPr>
          <w:rFonts w:ascii="仿宋_GB2312" w:eastAsia="仿宋_GB2312"/>
          <w:sz w:val="32"/>
          <w:szCs w:val="32"/>
        </w:rPr>
        <w:t>本单位年初预算未安排因公出国（境）费支出。单位全年安排的因公出国（境）团组0个，因公出国（境）0人次。</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公务用车购置及运行维护费2.00万元，其中：公务用车购置费0.00万元，公务用车运行维护费2.00万元。公务用车运行维护费开支内容包括</w:t>
      </w:r>
      <w:r>
        <w:rPr>
          <w:rFonts w:hint="eastAsia" w:ascii="仿宋_GB2312" w:eastAsia="仿宋_GB2312"/>
          <w:sz w:val="32"/>
          <w:szCs w:val="32"/>
          <w:lang w:eastAsia="zh-CN"/>
        </w:rPr>
        <w:t>：</w:t>
      </w:r>
      <w:r>
        <w:rPr>
          <w:rFonts w:ascii="仿宋_GB2312" w:eastAsia="仿宋_GB2312"/>
          <w:sz w:val="32"/>
          <w:szCs w:val="32"/>
        </w:rPr>
        <w:t>燃油费、维修费、保险费、年审费、停车费。公务用车购置数0辆，公务用车保有量1辆。国有资产占用情况中固定资产车辆1辆，与公务用车保有量差异原因是：国有资产占用情况中固定资产车辆与公务用车保有量一致</w:t>
      </w:r>
      <w:r>
        <w:rPr>
          <w:rFonts w:hint="eastAsia" w:ascii="仿宋_GB2312" w:eastAsia="仿宋_GB2312"/>
          <w:sz w:val="32"/>
          <w:szCs w:val="32"/>
        </w:rPr>
        <w:t>，无差异</w:t>
      </w:r>
      <w:r>
        <w:rPr>
          <w:rFonts w:ascii="仿宋_GB2312" w:eastAsia="仿宋_GB2312"/>
          <w:sz w:val="32"/>
          <w:szCs w:val="32"/>
        </w:rPr>
        <w:t>。</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公务接待费0.00万元，开支内容包括</w:t>
      </w:r>
      <w:r>
        <w:rPr>
          <w:rFonts w:hint="eastAsia" w:ascii="仿宋_GB2312" w:eastAsia="仿宋_GB2312"/>
          <w:sz w:val="32"/>
          <w:szCs w:val="32"/>
          <w:lang w:eastAsia="zh-CN"/>
        </w:rPr>
        <w:t>：</w:t>
      </w:r>
      <w:r>
        <w:rPr>
          <w:rFonts w:ascii="仿宋_GB2312" w:eastAsia="仿宋_GB2312"/>
          <w:sz w:val="32"/>
          <w:szCs w:val="32"/>
        </w:rPr>
        <w:t>本单位年初预算未安排公务接待费支出。单位全年安排的国内公务接待0批次，0人次。</w:t>
      </w:r>
    </w:p>
    <w:p>
      <w:pPr>
        <w:widowControl/>
        <w:spacing w:line="560" w:lineRule="exact"/>
        <w:ind w:firstLine="642" w:firstLineChars="200"/>
        <w:rPr>
          <w:rFonts w:ascii="仿宋_GB2312" w:eastAsia="仿宋_GB2312"/>
          <w:sz w:val="32"/>
          <w:szCs w:val="32"/>
        </w:rPr>
      </w:pPr>
      <w:r>
        <w:rPr>
          <w:rFonts w:ascii="仿宋_GB2312" w:eastAsia="仿宋_GB2312"/>
          <w:b/>
          <w:bCs/>
          <w:sz w:val="32"/>
          <w:szCs w:val="32"/>
        </w:rPr>
        <w:t>与全年预算相比，</w:t>
      </w:r>
      <w:r>
        <w:rPr>
          <w:rFonts w:ascii="仿宋_GB2312" w:eastAsia="仿宋_GB2312"/>
          <w:sz w:val="32"/>
          <w:szCs w:val="32"/>
        </w:rPr>
        <w:t>财政拨款</w:t>
      </w:r>
      <w:r>
        <w:rPr>
          <w:rFonts w:hint="eastAsia" w:ascii="仿宋_GB2312" w:eastAsia="仿宋_GB2312"/>
          <w:sz w:val="32"/>
          <w:szCs w:val="32"/>
        </w:rPr>
        <w:t>“</w:t>
      </w:r>
      <w:r>
        <w:rPr>
          <w:rFonts w:ascii="仿宋_GB2312" w:eastAsia="仿宋_GB2312"/>
          <w:sz w:val="32"/>
          <w:szCs w:val="32"/>
        </w:rPr>
        <w:t>三公</w:t>
      </w:r>
      <w:r>
        <w:rPr>
          <w:rFonts w:hint="eastAsia" w:ascii="仿宋_GB2312" w:eastAsia="仿宋_GB2312"/>
          <w:sz w:val="32"/>
          <w:szCs w:val="32"/>
        </w:rPr>
        <w:t>”</w:t>
      </w:r>
      <w:r>
        <w:rPr>
          <w:rFonts w:ascii="仿宋_GB2312" w:eastAsia="仿宋_GB2312"/>
          <w:sz w:val="32"/>
          <w:szCs w:val="32"/>
        </w:rPr>
        <w:t>经费支出全年预算数2.00万元，决算数2.00万元，预决算差异率0.00%，主要原因是：</w:t>
      </w:r>
      <w:r>
        <w:rPr>
          <w:rFonts w:ascii="仿宋_GB2312" w:eastAsia="仿宋_GB2312"/>
          <w:b w:val="0"/>
          <w:sz w:val="32"/>
          <w:szCs w:val="32"/>
        </w:rPr>
        <w:t>严格执行</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经费预算，本年支出与预算保持</w:t>
      </w:r>
      <w:r>
        <w:rPr>
          <w:rFonts w:hint="eastAsia" w:ascii="仿宋_GB2312" w:eastAsia="仿宋_GB2312"/>
          <w:b w:val="0"/>
          <w:sz w:val="32"/>
          <w:szCs w:val="32"/>
          <w:lang w:val="en-US" w:eastAsia="zh-CN"/>
        </w:rPr>
        <w:t>一致</w:t>
      </w:r>
      <w:r>
        <w:rPr>
          <w:rFonts w:ascii="仿宋_GB2312" w:eastAsia="仿宋_GB2312"/>
          <w:color w:val="auto"/>
          <w:sz w:val="32"/>
          <w:szCs w:val="32"/>
        </w:rPr>
        <w:t>。</w:t>
      </w:r>
      <w:r>
        <w:rPr>
          <w:rFonts w:ascii="仿宋_GB2312" w:eastAsia="仿宋_GB2312"/>
          <w:sz w:val="32"/>
          <w:szCs w:val="32"/>
        </w:rPr>
        <w:t>其中：因公出国（境）费全年预算数0.00万元，决算数0.00万元，预决算差异率0.00%，主要原因是：本单位年初预算未安排因公出国（境）费支出；公务用车购置费全年预算数0.00万元，决算数0.00万元，预决算差异率0.00%，主要原因是：本单位年初预算未安排公务用车购置费支出；公务用车运行维护费全年预算数2.00万元，决算数2.00万元，预决算差异率0.00%，主要原因是：</w:t>
      </w:r>
      <w:r>
        <w:rPr>
          <w:rFonts w:ascii="仿宋_GB2312" w:eastAsia="仿宋_GB2312"/>
          <w:b w:val="0"/>
          <w:sz w:val="32"/>
          <w:szCs w:val="32"/>
        </w:rPr>
        <w:t>严格执行公务用车运行</w:t>
      </w:r>
      <w:r>
        <w:rPr>
          <w:rFonts w:hint="eastAsia" w:ascii="仿宋_GB2312" w:eastAsia="仿宋_GB2312"/>
          <w:b w:val="0"/>
          <w:sz w:val="32"/>
          <w:szCs w:val="32"/>
          <w:lang w:val="en-US" w:eastAsia="zh-CN"/>
        </w:rPr>
        <w:t>维护</w:t>
      </w:r>
      <w:r>
        <w:rPr>
          <w:rFonts w:ascii="仿宋_GB2312" w:eastAsia="仿宋_GB2312"/>
          <w:b w:val="0"/>
          <w:sz w:val="32"/>
          <w:szCs w:val="32"/>
        </w:rPr>
        <w:t>费预算，与本年支出</w:t>
      </w:r>
      <w:r>
        <w:rPr>
          <w:rFonts w:hint="eastAsia" w:ascii="仿宋_GB2312" w:eastAsia="仿宋_GB2312"/>
          <w:b w:val="0"/>
          <w:sz w:val="32"/>
          <w:szCs w:val="32"/>
          <w:lang w:val="en-US" w:eastAsia="zh-CN"/>
        </w:rPr>
        <w:t>一致</w:t>
      </w:r>
      <w:r>
        <w:rPr>
          <w:rFonts w:ascii="仿宋_GB2312" w:eastAsia="仿宋_GB2312"/>
          <w:sz w:val="32"/>
          <w:szCs w:val="32"/>
        </w:rPr>
        <w:t>；公务接待费全年预算数0.00万元，决算数0.00万元，预决算差异率0.00%，主要原因是：</w:t>
      </w:r>
      <w:bookmarkStart w:id="0" w:name="OLE_LINK1"/>
      <w:r>
        <w:rPr>
          <w:rFonts w:ascii="仿宋_GB2312" w:eastAsia="仿宋_GB2312"/>
          <w:sz w:val="32"/>
          <w:szCs w:val="32"/>
        </w:rPr>
        <w:t>本单位年初预算未安排公务接待费支出。</w:t>
      </w:r>
    </w:p>
    <w:bookmarkEnd w:id="0"/>
    <w:p>
      <w:pPr>
        <w:widowControl/>
        <w:spacing w:line="560" w:lineRule="exact"/>
        <w:ind w:firstLine="640" w:firstLineChars="200"/>
        <w:jc w:val="left"/>
        <w:outlineLvl w:val="1"/>
        <w:rPr>
          <w:rFonts w:ascii="黑体" w:eastAsia="黑体"/>
          <w:sz w:val="32"/>
          <w:szCs w:val="32"/>
        </w:rPr>
      </w:pPr>
      <w:r>
        <w:rPr>
          <w:rFonts w:ascii="黑体" w:eastAsia="黑体"/>
          <w:sz w:val="32"/>
          <w:szCs w:val="32"/>
        </w:rPr>
        <w:t>十、其他重要事项的情况说明</w:t>
      </w:r>
    </w:p>
    <w:p>
      <w:pPr>
        <w:widowControl/>
        <w:spacing w:line="560" w:lineRule="exact"/>
        <w:ind w:firstLine="640" w:firstLineChars="200"/>
        <w:jc w:val="left"/>
        <w:outlineLvl w:val="2"/>
        <w:rPr>
          <w:rFonts w:ascii="黑体" w:eastAsia="黑体"/>
          <w:bCs/>
          <w:sz w:val="32"/>
          <w:szCs w:val="32"/>
        </w:rPr>
      </w:pPr>
      <w:r>
        <w:rPr>
          <w:rFonts w:ascii="黑体" w:eastAsia="黑体"/>
          <w:bCs/>
          <w:sz w:val="32"/>
          <w:szCs w:val="32"/>
        </w:rPr>
        <w:t>（一）机关运行经费及公用经费支出情况</w:t>
      </w:r>
    </w:p>
    <w:p>
      <w:pPr>
        <w:widowControl/>
        <w:spacing w:line="560" w:lineRule="exact"/>
        <w:ind w:firstLine="640" w:firstLineChars="200"/>
        <w:rPr>
          <w:rFonts w:ascii="仿宋_GB2312" w:eastAsia="仿宋_GB2312"/>
          <w:sz w:val="32"/>
          <w:szCs w:val="32"/>
        </w:rPr>
      </w:pPr>
      <w:r>
        <w:rPr>
          <w:rFonts w:hint="eastAsia" w:ascii="仿宋_GB2312" w:eastAsia="仿宋_GB2312"/>
          <w:sz w:val="32"/>
          <w:szCs w:val="32"/>
        </w:rPr>
        <w:t>2024年度</w:t>
      </w:r>
      <w:r>
        <w:rPr>
          <w:rFonts w:ascii="仿宋_GB2312" w:eastAsia="仿宋_GB2312"/>
          <w:sz w:val="32"/>
          <w:szCs w:val="32"/>
        </w:rPr>
        <w:t>新疆艺术剧院管弦乐团（新疆爱乐乐团）</w:t>
      </w:r>
      <w:r>
        <w:rPr>
          <w:rFonts w:hint="eastAsia" w:ascii="仿宋_GB2312" w:eastAsia="仿宋_GB2312"/>
          <w:sz w:val="32"/>
          <w:szCs w:val="32"/>
        </w:rPr>
        <w:t>公用经费支出68.80万元，</w:t>
      </w:r>
      <w:r>
        <w:rPr>
          <w:rFonts w:ascii="仿宋_GB2312" w:eastAsia="仿宋_GB2312"/>
          <w:sz w:val="32"/>
          <w:szCs w:val="32"/>
        </w:rPr>
        <w:t>比上年减少4.21万元，下降5.77%，主要原因是：在职人员比上年减少3人，相应公用经费减少。</w:t>
      </w:r>
    </w:p>
    <w:p>
      <w:pPr>
        <w:widowControl/>
        <w:spacing w:line="560" w:lineRule="exact"/>
        <w:ind w:firstLine="640" w:firstLineChars="200"/>
        <w:jc w:val="left"/>
        <w:outlineLvl w:val="2"/>
        <w:rPr>
          <w:rFonts w:ascii="黑体" w:eastAsia="黑体"/>
          <w:bCs/>
          <w:sz w:val="32"/>
          <w:szCs w:val="32"/>
        </w:rPr>
      </w:pPr>
      <w:r>
        <w:rPr>
          <w:rFonts w:ascii="黑体" w:eastAsia="黑体"/>
          <w:bCs/>
          <w:sz w:val="32"/>
          <w:szCs w:val="32"/>
        </w:rPr>
        <w:t>（二）政府采购情况</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2024年度政府采购支出总额58.33万元，其中：政府采购货物支出55.83万元、政府采购工程支出0.00万元、政府采购服务支出2.50万元。</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授予中小企业合同金额58.33万元，占政府采购支出总额的100.00%，其中：授予小微企业合同金额53.20万元，占政府采购支出总额的91.21%。</w:t>
      </w:r>
    </w:p>
    <w:p>
      <w:pPr>
        <w:widowControl/>
        <w:spacing w:line="560" w:lineRule="exact"/>
        <w:ind w:firstLine="640" w:firstLineChars="200"/>
        <w:jc w:val="left"/>
        <w:outlineLvl w:val="2"/>
        <w:rPr>
          <w:rFonts w:ascii="黑体" w:eastAsia="黑体"/>
          <w:bCs/>
          <w:sz w:val="32"/>
          <w:szCs w:val="32"/>
        </w:rPr>
      </w:pPr>
      <w:r>
        <w:rPr>
          <w:rFonts w:ascii="黑体" w:eastAsia="黑体"/>
          <w:bCs/>
          <w:sz w:val="32"/>
          <w:szCs w:val="32"/>
        </w:rPr>
        <w:t>（三）国有资产占用情况说明</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截至2024年12月31日，房屋0.00平方米，价值0.00万元。车辆1辆，价值27.99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一般</w:t>
      </w:r>
      <w:r>
        <w:rPr>
          <w:rFonts w:ascii="仿宋_GB2312" w:eastAsia="仿宋_GB2312"/>
          <w:sz w:val="32"/>
          <w:szCs w:val="32"/>
        </w:rPr>
        <w:t>公务用车</w:t>
      </w:r>
      <w:r>
        <w:rPr>
          <w:rFonts w:hint="eastAsia" w:ascii="仿宋_GB2312" w:eastAsia="仿宋_GB2312"/>
          <w:sz w:val="32"/>
          <w:szCs w:val="32"/>
        </w:rPr>
        <w:t>。</w:t>
      </w:r>
      <w:r>
        <w:rPr>
          <w:rFonts w:ascii="仿宋_GB2312" w:eastAsia="仿宋_GB2312"/>
          <w:sz w:val="32"/>
          <w:szCs w:val="32"/>
        </w:rPr>
        <w:t>单价100万元（含）以上设备（不含车辆）0台（套）。</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十一、预算绩效的情况说明</w:t>
      </w:r>
    </w:p>
    <w:p>
      <w:pPr>
        <w:widowControl/>
        <w:spacing w:line="560" w:lineRule="exact"/>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根据预算绩效管理要求，本单位2024年度预算绩效评价项目2个，全年预算数270.00万元，全年执行数270.00万元</w:t>
      </w:r>
      <w:r>
        <w:rPr>
          <w:rFonts w:hint="eastAsia" w:ascii="仿宋_GB2312" w:eastAsia="仿宋_GB2312"/>
          <w:sz w:val="32"/>
          <w:szCs w:val="32"/>
        </w:rPr>
        <w:t>。</w:t>
      </w:r>
      <w:r>
        <w:rPr>
          <w:rFonts w:ascii="仿宋_GB2312" w:eastAsia="仿宋_GB2312"/>
          <w:sz w:val="32"/>
          <w:szCs w:val="32"/>
        </w:rPr>
        <w:t>预算绩效管理取得的成效：一是为确保项目顺利进行，提前做好项目规划，再三审核所列计划。在项目实施过程中做好定期监督检查，严格按照项目管理规范进行；在项目资金使用过程中，严格落实把关，按照项目资金使用范围做好审核工作，让项目资金落于实处；二是在项目完成后，做好受益群众民意调查及项目防范工作。严格坚持先做事、后验收、再拨付的原则，基本杜绝了资金被挤占和挪用现象的发生。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仿宋_GB2312" w:eastAsia="仿宋_GB2312"/>
          <w:sz w:val="32"/>
          <w:szCs w:val="32"/>
        </w:rPr>
        <w:t>。</w:t>
      </w:r>
      <w:r>
        <w:rPr>
          <w:rFonts w:ascii="仿宋_GB2312" w:eastAsia="仿宋_GB2312"/>
          <w:sz w:val="32"/>
          <w:szCs w:val="32"/>
        </w:rPr>
        <w:t>发现的问题及原因：一是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二是因轮岗、调动、等因素使我单位绩效工作人员流动频繁，造成了工作衔接不到位的情况</w:t>
      </w:r>
      <w:r>
        <w:rPr>
          <w:rFonts w:hint="eastAsia" w:ascii="仿宋_GB2312" w:eastAsia="仿宋_GB2312"/>
          <w:sz w:val="32"/>
          <w:szCs w:val="32"/>
        </w:rPr>
        <w:t>。</w:t>
      </w:r>
      <w:r>
        <w:rPr>
          <w:rFonts w:ascii="仿宋_GB2312" w:eastAsia="仿宋_GB2312"/>
          <w:sz w:val="32"/>
          <w:szCs w:val="32"/>
        </w:rPr>
        <w:t>下一步改进措施：一是多进行有关绩效管理工作方面的培训。积极组织第三方开展绩效管理工作培训，进一步夯实业务基础，提高我单位绩效人员水平；二是专门设定对绩效工作人员定职、定岗、定责等相关制度措施，进一步提升我单位绩效管理工作业务水平，扎实做好绩效管理工作；三是进一步规范项目建设的程序。项目前期做好可行性研究报告，更加细化实施方案，严格执行资金管理办法和财政资金管理制度，严格按照项目实施方案、招投标管理办法等稳步推进工作，根据自己项目的特点进行总结；四是进一步完善项目评价过程中有关数据和资料的收集、整理、审核及分析。项目启动时同步做好档案的归纳与整理，及时整理、收集、汇总，健全档案资料。项目后续管理有待进一步加强和跟踪；五是进一步加强对绩效管理工作的组织领导，提高对预算绩效管理工作重要性的认识，总结经验查找问题，抓紧研究制定更全面更完善的绩效评价管理办法，结合绩效工作考核制度，加大全局对全面实施预算绩效管理和绩效管理工作的学习力度，让</w:t>
      </w:r>
      <w:r>
        <w:rPr>
          <w:rFonts w:hint="eastAsia" w:ascii="仿宋_GB2312" w:eastAsia="仿宋_GB2312"/>
          <w:sz w:val="32"/>
          <w:szCs w:val="32"/>
          <w:lang w:eastAsia="zh-CN"/>
        </w:rPr>
        <w:t>“</w:t>
      </w:r>
      <w:r>
        <w:rPr>
          <w:rFonts w:ascii="仿宋_GB2312" w:eastAsia="仿宋_GB2312"/>
          <w:sz w:val="32"/>
          <w:szCs w:val="32"/>
        </w:rPr>
        <w:t>花钱必问效，无效必问责</w:t>
      </w:r>
      <w:r>
        <w:rPr>
          <w:rFonts w:hint="eastAsia" w:ascii="仿宋_GB2312" w:eastAsia="仿宋_GB2312"/>
          <w:sz w:val="32"/>
          <w:szCs w:val="32"/>
        </w:rPr>
        <w:t>”</w:t>
      </w:r>
      <w:r>
        <w:rPr>
          <w:rFonts w:ascii="仿宋_GB2312" w:eastAsia="仿宋_GB2312"/>
          <w:sz w:val="32"/>
          <w:szCs w:val="32"/>
        </w:rPr>
        <w:t>的理念深入工作每个环节。具体附项目支出绩效自评表</w:t>
      </w:r>
      <w:r>
        <w:rPr>
          <w:rFonts w:hint="eastAsia" w:ascii="仿宋_GB2312" w:eastAsia="仿宋_GB2312"/>
          <w:sz w:val="32"/>
          <w:szCs w:val="32"/>
          <w:lang w:eastAsia="zh-CN"/>
        </w:rPr>
        <w:t>（</w:t>
      </w:r>
      <w:r>
        <w:rPr>
          <w:rFonts w:ascii="仿宋_GB2312" w:eastAsia="仿宋_GB2312"/>
          <w:sz w:val="32"/>
          <w:szCs w:val="32"/>
        </w:rPr>
        <w:t>见附</w:t>
      </w:r>
      <w:r>
        <w:rPr>
          <w:rFonts w:hint="eastAsia" w:ascii="仿宋_GB2312" w:eastAsia="仿宋_GB2312"/>
          <w:sz w:val="32"/>
          <w:szCs w:val="32"/>
        </w:rPr>
        <w:t>件2</w:t>
      </w:r>
      <w:r>
        <w:rPr>
          <w:rFonts w:hint="eastAsia" w:ascii="仿宋_GB2312" w:eastAsia="仿宋_GB2312"/>
          <w:sz w:val="32"/>
          <w:szCs w:val="32"/>
          <w:lang w:eastAsia="zh-CN"/>
        </w:rPr>
        <w:t>）</w:t>
      </w:r>
      <w:r>
        <w:rPr>
          <w:rFonts w:ascii="仿宋_GB2312" w:eastAsia="仿宋_GB2312"/>
          <w:sz w:val="32"/>
          <w:szCs w:val="32"/>
        </w:rPr>
        <w:t>。</w:t>
      </w:r>
    </w:p>
    <w:p>
      <w:pPr>
        <w:widowControl/>
        <w:spacing w:line="560" w:lineRule="exact"/>
        <w:ind w:firstLine="640" w:firstLineChars="200"/>
        <w:jc w:val="left"/>
        <w:outlineLvl w:val="1"/>
        <w:rPr>
          <w:rFonts w:ascii="黑体" w:eastAsia="黑体"/>
          <w:sz w:val="32"/>
          <w:szCs w:val="32"/>
        </w:rPr>
      </w:pPr>
      <w:r>
        <w:rPr>
          <w:rFonts w:ascii="黑体" w:eastAsia="黑体"/>
          <w:sz w:val="32"/>
          <w:szCs w:val="32"/>
        </w:rPr>
        <w:t>十二、其他需说明的事项</w:t>
      </w:r>
    </w:p>
    <w:p>
      <w:pPr>
        <w:widowControl/>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本单位无其他需说明事项。</w:t>
      </w:r>
    </w:p>
    <w:p>
      <w:pPr>
        <w:widowControl/>
        <w:spacing w:line="560" w:lineRule="exact"/>
      </w:pPr>
    </w:p>
    <w:p>
      <w:pPr>
        <w:widowControl/>
        <w:spacing w:line="560" w:lineRule="exact"/>
      </w:pPr>
    </w:p>
    <w:p>
      <w:pPr>
        <w:widowControl/>
        <w:spacing w:line="560" w:lineRule="exact"/>
      </w:pPr>
    </w:p>
    <w:p>
      <w:pPr>
        <w:widowControl/>
        <w:spacing w:line="560" w:lineRule="exact"/>
      </w:pPr>
    </w:p>
    <w:p>
      <w:pPr>
        <w:widowControl/>
        <w:spacing w:line="560" w:lineRule="exact"/>
      </w:pPr>
    </w:p>
    <w:p>
      <w:pPr>
        <w:widowControl/>
        <w:spacing w:line="560" w:lineRule="exact"/>
      </w:pPr>
    </w:p>
    <w:p>
      <w:pPr>
        <w:widowControl/>
        <w:spacing w:line="560" w:lineRule="exact"/>
      </w:pPr>
    </w:p>
    <w:p>
      <w:pPr>
        <w:widowControl/>
        <w:spacing w:line="560" w:lineRule="exact"/>
      </w:pPr>
    </w:p>
    <w:p>
      <w:pPr>
        <w:widowControl/>
        <w:spacing w:line="560" w:lineRule="exact"/>
      </w:pPr>
    </w:p>
    <w:p>
      <w:pPr>
        <w:widowControl/>
        <w:spacing w:line="560" w:lineRule="exact"/>
      </w:pPr>
    </w:p>
    <w:p>
      <w:pPr>
        <w:spacing w:line="560" w:lineRule="exact"/>
        <w:jc w:val="center"/>
        <w:outlineLvl w:val="0"/>
        <w:rPr>
          <w:rFonts w:hint="eastAsia" w:ascii="黑体" w:hAnsi="黑体" w:eastAsia="黑体"/>
          <w:sz w:val="32"/>
          <w:szCs w:val="32"/>
        </w:rPr>
      </w:pPr>
      <w:bookmarkStart w:id="1" w:name="_Toc9851"/>
      <w:r>
        <w:rPr>
          <w:rFonts w:hint="eastAsia" w:ascii="黑体" w:hAnsi="黑体" w:eastAsia="黑体"/>
          <w:sz w:val="32"/>
          <w:szCs w:val="32"/>
        </w:rPr>
        <w:t>第三部分 专业名词解释</w:t>
      </w:r>
      <w:bookmarkEnd w:id="1"/>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spacing w:line="560" w:lineRule="exact"/>
        <w:ind w:firstLine="642"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560" w:lineRule="exact"/>
        <w:ind w:firstLine="642"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spacing w:line="560" w:lineRule="exact"/>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bookmarkStart w:id="2" w:name="_Toc25218"/>
      <w:r>
        <w:rPr>
          <w:rFonts w:hint="eastAsia" w:ascii="黑体" w:hAnsi="黑体" w:eastAsia="黑体"/>
          <w:sz w:val="32"/>
          <w:szCs w:val="32"/>
        </w:rPr>
        <w:t>第四部分 部门决算报表（见附件1）</w:t>
      </w:r>
      <w:bookmarkEnd w:id="2"/>
    </w:p>
    <w:p>
      <w:pPr>
        <w:spacing w:line="560" w:lineRule="exact"/>
        <w:ind w:firstLine="640" w:firstLineChars="200"/>
        <w:outlineLvl w:val="1"/>
        <w:rPr>
          <w:rFonts w:hint="eastAsia" w:ascii="仿宋_GB2312" w:hAnsi="仿宋_GB2312" w:eastAsia="仿宋_GB2312" w:cs="仿宋_GB2312"/>
          <w:bCs/>
          <w:sz w:val="32"/>
          <w:szCs w:val="32"/>
        </w:rPr>
      </w:pPr>
      <w:bookmarkStart w:id="3" w:name="_Toc25722"/>
      <w:bookmarkStart w:id="4" w:name="_Toc6062"/>
      <w:r>
        <w:rPr>
          <w:rFonts w:hint="eastAsia" w:ascii="仿宋_GB2312" w:hAnsi="仿宋_GB2312" w:eastAsia="仿宋_GB2312" w:cs="仿宋_GB2312"/>
          <w:bCs/>
          <w:sz w:val="32"/>
          <w:szCs w:val="32"/>
        </w:rPr>
        <w:t>一、《收入支出决算总表》</w:t>
      </w:r>
      <w:bookmarkEnd w:id="3"/>
      <w:bookmarkEnd w:id="4"/>
    </w:p>
    <w:p>
      <w:pPr>
        <w:spacing w:line="560" w:lineRule="exact"/>
        <w:ind w:firstLine="640" w:firstLineChars="200"/>
        <w:outlineLvl w:val="1"/>
        <w:rPr>
          <w:rFonts w:hint="eastAsia" w:ascii="仿宋_GB2312" w:hAnsi="仿宋_GB2312" w:eastAsia="仿宋_GB2312" w:cs="仿宋_GB2312"/>
          <w:bCs/>
          <w:sz w:val="32"/>
          <w:szCs w:val="32"/>
        </w:rPr>
      </w:pPr>
      <w:bookmarkStart w:id="5" w:name="_Toc30364"/>
      <w:bookmarkStart w:id="6" w:name="_Toc11095"/>
      <w:r>
        <w:rPr>
          <w:rFonts w:hint="eastAsia" w:ascii="仿宋_GB2312" w:hAnsi="仿宋_GB2312" w:eastAsia="仿宋_GB2312" w:cs="仿宋_GB2312"/>
          <w:bCs/>
          <w:sz w:val="32"/>
          <w:szCs w:val="32"/>
        </w:rPr>
        <w:t>二、《收入决算表》</w:t>
      </w:r>
      <w:bookmarkEnd w:id="5"/>
      <w:bookmarkEnd w:id="6"/>
    </w:p>
    <w:p>
      <w:pPr>
        <w:spacing w:line="560" w:lineRule="exact"/>
        <w:ind w:firstLine="640" w:firstLineChars="200"/>
        <w:outlineLvl w:val="1"/>
        <w:rPr>
          <w:rFonts w:hint="eastAsia" w:ascii="仿宋_GB2312" w:hAnsi="仿宋_GB2312" w:eastAsia="仿宋_GB2312" w:cs="仿宋_GB2312"/>
          <w:bCs/>
          <w:sz w:val="32"/>
          <w:szCs w:val="32"/>
        </w:rPr>
      </w:pPr>
      <w:bookmarkStart w:id="7" w:name="_Toc21304"/>
      <w:bookmarkStart w:id="8" w:name="_Toc25511"/>
      <w:r>
        <w:rPr>
          <w:rFonts w:hint="eastAsia" w:ascii="仿宋_GB2312" w:hAnsi="仿宋_GB2312" w:eastAsia="仿宋_GB2312" w:cs="仿宋_GB2312"/>
          <w:bCs/>
          <w:sz w:val="32"/>
          <w:szCs w:val="32"/>
        </w:rPr>
        <w:t>三、《支出决算表》</w:t>
      </w:r>
      <w:bookmarkEnd w:id="7"/>
      <w:bookmarkEnd w:id="8"/>
    </w:p>
    <w:p>
      <w:pPr>
        <w:spacing w:line="560" w:lineRule="exact"/>
        <w:ind w:firstLine="640" w:firstLineChars="200"/>
        <w:outlineLvl w:val="1"/>
        <w:rPr>
          <w:rFonts w:hint="eastAsia" w:ascii="仿宋_GB2312" w:hAnsi="仿宋_GB2312" w:eastAsia="仿宋_GB2312" w:cs="仿宋_GB2312"/>
          <w:bCs/>
          <w:sz w:val="32"/>
          <w:szCs w:val="32"/>
        </w:rPr>
      </w:pPr>
      <w:bookmarkStart w:id="9" w:name="_Toc31346"/>
      <w:bookmarkStart w:id="10" w:name="_Toc14238"/>
      <w:r>
        <w:rPr>
          <w:rFonts w:hint="eastAsia" w:ascii="仿宋_GB2312" w:hAnsi="仿宋_GB2312" w:eastAsia="仿宋_GB2312" w:cs="仿宋_GB2312"/>
          <w:bCs/>
          <w:sz w:val="32"/>
          <w:szCs w:val="32"/>
        </w:rPr>
        <w:t>四、《财政拨款收入支出决算总表》</w:t>
      </w:r>
      <w:bookmarkEnd w:id="9"/>
      <w:bookmarkEnd w:id="10"/>
    </w:p>
    <w:p>
      <w:pPr>
        <w:spacing w:line="560" w:lineRule="exact"/>
        <w:ind w:firstLine="640" w:firstLineChars="200"/>
        <w:outlineLvl w:val="1"/>
        <w:rPr>
          <w:rFonts w:hint="eastAsia" w:ascii="仿宋_GB2312" w:hAnsi="仿宋_GB2312" w:eastAsia="仿宋_GB2312" w:cs="仿宋_GB2312"/>
          <w:bCs/>
          <w:sz w:val="32"/>
          <w:szCs w:val="32"/>
        </w:rPr>
      </w:pPr>
      <w:bookmarkStart w:id="11" w:name="_Toc10347"/>
      <w:bookmarkStart w:id="12" w:name="_Toc910"/>
      <w:r>
        <w:rPr>
          <w:rFonts w:hint="eastAsia" w:ascii="仿宋_GB2312" w:hAnsi="仿宋_GB2312" w:eastAsia="仿宋_GB2312" w:cs="仿宋_GB2312"/>
          <w:bCs/>
          <w:sz w:val="32"/>
          <w:szCs w:val="32"/>
        </w:rPr>
        <w:t>五、《一般公共预算财政拨款支出决算表》</w:t>
      </w:r>
      <w:bookmarkEnd w:id="11"/>
      <w:bookmarkEnd w:id="12"/>
    </w:p>
    <w:p>
      <w:pPr>
        <w:spacing w:line="560" w:lineRule="exact"/>
        <w:ind w:firstLine="640" w:firstLineChars="200"/>
        <w:outlineLvl w:val="1"/>
        <w:rPr>
          <w:rFonts w:hint="eastAsia" w:ascii="仿宋_GB2312" w:hAnsi="仿宋_GB2312" w:eastAsia="仿宋_GB2312" w:cs="仿宋_GB2312"/>
          <w:bCs/>
          <w:sz w:val="32"/>
          <w:szCs w:val="32"/>
        </w:rPr>
      </w:pPr>
      <w:bookmarkStart w:id="13" w:name="_Toc5626"/>
      <w:bookmarkStart w:id="14" w:name="_Toc6578"/>
      <w:r>
        <w:rPr>
          <w:rFonts w:hint="eastAsia" w:ascii="仿宋_GB2312" w:hAnsi="仿宋_GB2312" w:eastAsia="仿宋_GB2312" w:cs="仿宋_GB2312"/>
          <w:bCs/>
          <w:sz w:val="32"/>
          <w:szCs w:val="32"/>
        </w:rPr>
        <w:t>六、《一般公共预算财政拨款基本支出决算表》</w:t>
      </w:r>
      <w:bookmarkEnd w:id="13"/>
      <w:bookmarkEnd w:id="14"/>
    </w:p>
    <w:p>
      <w:pPr>
        <w:spacing w:line="560" w:lineRule="exact"/>
        <w:ind w:firstLine="640" w:firstLineChars="200"/>
        <w:outlineLvl w:val="1"/>
        <w:rPr>
          <w:rFonts w:hint="eastAsia" w:ascii="仿宋_GB2312" w:hAnsi="仿宋_GB2312" w:eastAsia="仿宋_GB2312" w:cs="仿宋_GB2312"/>
          <w:bCs/>
          <w:sz w:val="32"/>
          <w:szCs w:val="32"/>
        </w:rPr>
      </w:pPr>
      <w:bookmarkStart w:id="15" w:name="_Toc13584"/>
      <w:bookmarkStart w:id="16" w:name="_Toc5453"/>
      <w:r>
        <w:rPr>
          <w:rFonts w:hint="eastAsia" w:ascii="仿宋_GB2312" w:hAnsi="仿宋_GB2312" w:eastAsia="仿宋_GB2312" w:cs="仿宋_GB2312"/>
          <w:bCs/>
          <w:sz w:val="32"/>
          <w:szCs w:val="32"/>
        </w:rPr>
        <w:t>七、《政府性基金预算财政拨款收入支出决算表》</w:t>
      </w:r>
      <w:bookmarkEnd w:id="15"/>
      <w:bookmarkEnd w:id="16"/>
    </w:p>
    <w:p>
      <w:pPr>
        <w:spacing w:line="560" w:lineRule="exact"/>
        <w:ind w:firstLine="640" w:firstLineChars="200"/>
        <w:outlineLvl w:val="1"/>
        <w:rPr>
          <w:rFonts w:hint="eastAsia" w:ascii="仿宋_GB2312" w:hAnsi="仿宋_GB2312" w:eastAsia="仿宋_GB2312" w:cs="仿宋_GB2312"/>
          <w:bCs/>
          <w:sz w:val="32"/>
          <w:szCs w:val="32"/>
        </w:rPr>
      </w:pPr>
      <w:bookmarkStart w:id="17" w:name="_Toc13058"/>
      <w:r>
        <w:rPr>
          <w:rFonts w:hint="eastAsia" w:ascii="仿宋_GB2312" w:hAnsi="仿宋_GB2312" w:eastAsia="仿宋_GB2312" w:cs="仿宋_GB2312"/>
          <w:bCs/>
          <w:sz w:val="32"/>
          <w:szCs w:val="32"/>
        </w:rPr>
        <w:t>八、《国有资本经营预算财政拨款收入支出决算表》</w:t>
      </w:r>
      <w:bookmarkEnd w:id="17"/>
    </w:p>
    <w:p>
      <w:pPr>
        <w:spacing w:line="560" w:lineRule="exact"/>
        <w:ind w:firstLine="640" w:firstLineChars="200"/>
        <w:outlineLvl w:val="1"/>
        <w:rPr>
          <w:rFonts w:ascii="仿宋_GB2312" w:hAnsi="仿宋_GB2312" w:eastAsia="仿宋_GB2312" w:cs="仿宋_GB2312"/>
          <w:bCs/>
          <w:sz w:val="32"/>
          <w:szCs w:val="32"/>
        </w:rPr>
      </w:pPr>
      <w:bookmarkStart w:id="18" w:name="_Toc32663"/>
      <w:bookmarkStart w:id="19" w:name="_Toc19637"/>
      <w:bookmarkStart w:id="20" w:name="_Toc29106"/>
      <w:r>
        <w:rPr>
          <w:rFonts w:hint="eastAsia" w:ascii="仿宋_GB2312" w:hAnsi="仿宋_GB2312" w:eastAsia="仿宋_GB2312" w:cs="仿宋_GB2312"/>
          <w:bCs/>
          <w:sz w:val="32"/>
          <w:szCs w:val="32"/>
        </w:rPr>
        <w:t>九、《财政拨款“三公”经费支出决算表》</w:t>
      </w:r>
      <w:bookmarkEnd w:id="18"/>
      <w:bookmarkEnd w:id="19"/>
      <w:bookmarkEnd w:id="20"/>
    </w:p>
    <w:p>
      <w:pPr>
        <w:spacing w:line="560" w:lineRule="exact"/>
        <w:ind w:firstLine="640" w:firstLineChars="200"/>
        <w:outlineLvl w:val="1"/>
        <w:rPr>
          <w:rFonts w:hint="eastAsia" w:ascii="仿宋_GB2312" w:hAnsi="仿宋_GB2312" w:eastAsia="仿宋_GB2312" w:cs="仿宋_GB2312"/>
          <w:bCs/>
          <w:sz w:val="32"/>
          <w:szCs w:val="32"/>
        </w:rPr>
      </w:pPr>
    </w:p>
    <w:p>
      <w:pPr>
        <w:spacing w:line="560" w:lineRule="exact"/>
        <w:ind w:firstLine="640" w:firstLineChars="200"/>
        <w:jc w:val="center"/>
        <w:outlineLvl w:val="0"/>
        <w:rPr>
          <w:rFonts w:hint="eastAsia" w:ascii="黑体" w:hAnsi="黑体" w:eastAsia="黑体"/>
          <w:sz w:val="32"/>
          <w:szCs w:val="32"/>
        </w:rPr>
      </w:pPr>
      <w:r>
        <w:rPr>
          <w:rFonts w:hint="eastAsia" w:ascii="黑体" w:hAnsi="黑体" w:eastAsia="黑体"/>
          <w:sz w:val="32"/>
          <w:szCs w:val="32"/>
          <w:lang w:val="en-US" w:eastAsia="zh-CN"/>
        </w:rPr>
        <w:t xml:space="preserve"> </w:t>
      </w:r>
      <w:bookmarkStart w:id="21" w:name="_GoBack"/>
      <w:bookmarkEnd w:id="21"/>
      <w:r>
        <w:rPr>
          <w:rFonts w:hint="eastAsia" w:ascii="黑体" w:hAnsi="黑体" w:eastAsia="黑体"/>
          <w:sz w:val="32"/>
          <w:szCs w:val="32"/>
        </w:rPr>
        <w:t>第五部分 项目绩效自评表</w:t>
      </w:r>
      <w:r>
        <w:rPr>
          <w:rFonts w:ascii="黑体" w:hAnsi="黑体" w:eastAsia="黑体"/>
          <w:sz w:val="32"/>
          <w:szCs w:val="32"/>
        </w:rPr>
        <w:t>（见附</w:t>
      </w:r>
      <w:r>
        <w:rPr>
          <w:rFonts w:hint="eastAsia" w:ascii="黑体" w:hAnsi="黑体" w:eastAsia="黑体"/>
          <w:sz w:val="32"/>
          <w:szCs w:val="32"/>
        </w:rPr>
        <w:t>件2</w:t>
      </w:r>
      <w:r>
        <w:rPr>
          <w:rFonts w:ascii="黑体" w:hAnsi="黑体" w:eastAsia="黑体"/>
          <w:sz w:val="32"/>
          <w:szCs w:val="32"/>
        </w:rPr>
        <w:t>）</w:t>
      </w:r>
    </w:p>
    <w:p>
      <w:pPr>
        <w:spacing w:line="560" w:lineRule="exact"/>
        <w:ind w:firstLine="640" w:firstLineChars="200"/>
        <w:outlineLvl w:val="1"/>
        <w:rPr>
          <w:rFonts w:hint="eastAsia" w:ascii="黑体" w:hAnsi="黑体" w:eastAsia="黑体" w:cs="宋体"/>
          <w:bCs/>
          <w:sz w:val="32"/>
          <w:szCs w:val="32"/>
        </w:rPr>
      </w:pPr>
    </w:p>
    <w:p>
      <w:pPr>
        <w:widowControl/>
        <w:spacing w:line="560" w:lineRule="exact"/>
        <w:ind w:firstLine="640" w:firstLineChars="200"/>
        <w:jc w:val="left"/>
        <w:outlineLvl w:val="1"/>
        <w:rPr>
          <w:rFonts w:ascii="仿宋_GB2312" w:eastAsia="仿宋_GB2312"/>
          <w:sz w:val="32"/>
          <w:szCs w:val="32"/>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ED"/>
    <w:rsid w:val="000A09A7"/>
    <w:rsid w:val="000B093C"/>
    <w:rsid w:val="001C0FED"/>
    <w:rsid w:val="0049751B"/>
    <w:rsid w:val="005D3C62"/>
    <w:rsid w:val="006E170B"/>
    <w:rsid w:val="008078A0"/>
    <w:rsid w:val="00820753"/>
    <w:rsid w:val="008C72C9"/>
    <w:rsid w:val="008D3356"/>
    <w:rsid w:val="00913A17"/>
    <w:rsid w:val="00993045"/>
    <w:rsid w:val="012A3378"/>
    <w:rsid w:val="047924AE"/>
    <w:rsid w:val="06C010D2"/>
    <w:rsid w:val="07EE00AB"/>
    <w:rsid w:val="0F3A72CD"/>
    <w:rsid w:val="104E38ED"/>
    <w:rsid w:val="10BD4603"/>
    <w:rsid w:val="10F85AF1"/>
    <w:rsid w:val="13FF5264"/>
    <w:rsid w:val="14454AB2"/>
    <w:rsid w:val="14A42C32"/>
    <w:rsid w:val="1AC03512"/>
    <w:rsid w:val="1C093546"/>
    <w:rsid w:val="1D6A2C4E"/>
    <w:rsid w:val="28955C55"/>
    <w:rsid w:val="2CBB6D58"/>
    <w:rsid w:val="2D971B06"/>
    <w:rsid w:val="2F974814"/>
    <w:rsid w:val="2FCF026D"/>
    <w:rsid w:val="32306B7C"/>
    <w:rsid w:val="33736182"/>
    <w:rsid w:val="372C027B"/>
    <w:rsid w:val="37551871"/>
    <w:rsid w:val="397F3C01"/>
    <w:rsid w:val="3A35178B"/>
    <w:rsid w:val="3F2D6433"/>
    <w:rsid w:val="4042095D"/>
    <w:rsid w:val="407779D8"/>
    <w:rsid w:val="41A57CD1"/>
    <w:rsid w:val="454959B9"/>
    <w:rsid w:val="465144C9"/>
    <w:rsid w:val="486173B8"/>
    <w:rsid w:val="486D3A09"/>
    <w:rsid w:val="49CD2E2E"/>
    <w:rsid w:val="50810BC2"/>
    <w:rsid w:val="50C917BF"/>
    <w:rsid w:val="52AE368B"/>
    <w:rsid w:val="548B2D85"/>
    <w:rsid w:val="579131D6"/>
    <w:rsid w:val="59495F06"/>
    <w:rsid w:val="59D85E50"/>
    <w:rsid w:val="5EA61408"/>
    <w:rsid w:val="60DF33AD"/>
    <w:rsid w:val="69163FEF"/>
    <w:rsid w:val="70380A9C"/>
    <w:rsid w:val="725917A6"/>
    <w:rsid w:val="7B9E6D02"/>
    <w:rsid w:val="B6F09CB4"/>
    <w:rsid w:val="EFBD0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lang w:val="en-US" w:eastAsia="zh-CN" w:bidi="ar-SA"/>
    </w:rPr>
  </w:style>
  <w:style w:type="paragraph" w:styleId="2">
    <w:name w:val="heading 2"/>
    <w:basedOn w:val="1"/>
    <w:next w:val="1"/>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tabs>
        <w:tab w:val="center" w:pos="4153"/>
        <w:tab w:val="right" w:pos="8306"/>
      </w:tabs>
      <w:snapToGrid w:val="0"/>
      <w:jc w:val="center"/>
    </w:pPr>
    <w:rPr>
      <w:sz w:val="18"/>
      <w:szCs w:val="18"/>
    </w:rPr>
  </w:style>
  <w:style w:type="character" w:customStyle="1" w:styleId="7">
    <w:name w:val="页眉 字符"/>
    <w:basedOn w:val="6"/>
    <w:link w:val="4"/>
    <w:qFormat/>
    <w:uiPriority w:val="0"/>
    <w:rPr>
      <w:sz w:val="18"/>
      <w:szCs w:val="18"/>
    </w:rPr>
  </w:style>
  <w:style w:type="character" w:customStyle="1" w:styleId="8">
    <w:name w:val="页脚 字符"/>
    <w:basedOn w:val="6"/>
    <w:link w:val="3"/>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5996</Words>
  <Characters>6670</Characters>
  <Lines>180</Lines>
  <Paragraphs>136</Paragraphs>
  <TotalTime>4</TotalTime>
  <ScaleCrop>false</ScaleCrop>
  <LinksUpToDate>false</LinksUpToDate>
  <CharactersWithSpaces>6682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2025-08-23T07:11:00Z</dcterms:created>
  <dc:creator>lenovo</dc:creator>
  <cp:lastModifiedBy>wlt</cp:lastModifiedBy>
  <dcterms:modified xsi:type="dcterms:W3CDTF">2025-08-28T12:31:22Z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9F981AD0D8F8479CA99DB328599F2596_13</vt:lpwstr>
  </property>
  <property fmtid="{D5CDD505-2E9C-101B-9397-08002B2CF9AE}" pid="4" name="KSOTemplateDocerSaveRecord">
    <vt:lpwstr>eyJoZGlkIjoiMzVjOGU1MTgxODI0NTE4Njc0YTVlYzExYjk1Y2QyYzUiLCJ1c2VySWQiOiI4NjQ5OTY1MjgifQ==</vt:lpwstr>
  </property>
</Properties>
</file>